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71D38" w14:textId="19B8082B" w:rsidR="00A52FF5" w:rsidRDefault="00A52FF5" w:rsidP="00A52FF5">
      <w:pPr>
        <w:rPr>
          <w:iCs/>
          <w:color w:val="000000" w:themeColor="text1"/>
        </w:rPr>
      </w:pPr>
      <w:r>
        <w:rPr>
          <w:iCs/>
          <w:color w:val="000000" w:themeColor="text1"/>
        </w:rPr>
        <w:t xml:space="preserve">Hierbij bieden wij </w:t>
      </w:r>
      <w:r w:rsidR="00D17FC0">
        <w:rPr>
          <w:iCs/>
          <w:color w:val="000000" w:themeColor="text1"/>
        </w:rPr>
        <w:t xml:space="preserve">u </w:t>
      </w:r>
      <w:r>
        <w:rPr>
          <w:iCs/>
          <w:color w:val="000000" w:themeColor="text1"/>
        </w:rPr>
        <w:t xml:space="preserve">het Programmaplan Flexwonen 2021-2024 aan. Het programma is een uitwerking van het beleid voor flexwonen zoals dat is opgenomen in het omgevingsbeleid van Zuid-Holland. In onze brief van 6 oktober 2020 over de Lange Termijn Agenda, kenmerk PZH 2020-753077885, kondigden wij het opstellen en vaststellen van dit programma aan. We gaven aan hierbij ook in te gaan op de inzet van middelen die wij van het Rijk ontvingen om flexwonen te bevorderen. </w:t>
      </w:r>
    </w:p>
    <w:p w14:paraId="6B68E0F5" w14:textId="77777777" w:rsidR="00A52FF5" w:rsidRDefault="00A52FF5" w:rsidP="00A52FF5">
      <w:pPr>
        <w:rPr>
          <w:iCs/>
          <w:color w:val="000000" w:themeColor="text1"/>
        </w:rPr>
      </w:pPr>
    </w:p>
    <w:p w14:paraId="318AFB42" w14:textId="77777777" w:rsidR="00A52FF5" w:rsidRDefault="00A52FF5" w:rsidP="00A52FF5">
      <w:pPr>
        <w:rPr>
          <w:iCs/>
          <w:color w:val="000000" w:themeColor="text1"/>
        </w:rPr>
      </w:pPr>
      <w:r>
        <w:rPr>
          <w:iCs/>
          <w:color w:val="000000" w:themeColor="text1"/>
        </w:rPr>
        <w:t xml:space="preserve">Flexwonen is onderdeel van de instrumentenkoffer betaalbare huurwoningen van de Zuid-Hollandse Woningbouwagenda, kenmerk PZH-2020-758221449, waarover u op 9 december 2020 bent geïnformeerd. De woningbouwagenda is ontwikkeld naar aanleiding van uw vraag in de Statencommissie Ruimte, Wonen &amp; Economie (RWE) van 16 juni 2020. De centrale boodschap van dit activerende communicatiemiddel is ‘Bouw Mee!’ vanuit de actierichtingen </w:t>
      </w:r>
      <w:r w:rsidRPr="00637DF2">
        <w:rPr>
          <w:i/>
          <w:iCs/>
          <w:sz w:val="20"/>
          <w:szCs w:val="20"/>
        </w:rPr>
        <w:t xml:space="preserve">(1) </w:t>
      </w:r>
      <w:r w:rsidRPr="000A4109">
        <w:rPr>
          <w:i/>
          <w:iCs/>
        </w:rPr>
        <w:t>Bouw snel &amp; slim, (2) Bouw toekomstbestendig, (3) Bouw voor iedereen.</w:t>
      </w:r>
      <w:r>
        <w:rPr>
          <w:i/>
          <w:iCs/>
          <w:sz w:val="20"/>
          <w:szCs w:val="20"/>
        </w:rPr>
        <w:t xml:space="preserve"> </w:t>
      </w:r>
      <w:r>
        <w:rPr>
          <w:iCs/>
          <w:color w:val="000000" w:themeColor="text1"/>
        </w:rPr>
        <w:t xml:space="preserve"> Voor het  programmaplan Flexwonen 2021-2024 kozen wij voor de ondertitel ‘</w:t>
      </w:r>
      <w:r w:rsidRPr="0068491C">
        <w:rPr>
          <w:i/>
          <w:color w:val="000000" w:themeColor="text1"/>
        </w:rPr>
        <w:t>Slim en snel thuis’</w:t>
      </w:r>
      <w:r>
        <w:rPr>
          <w:iCs/>
          <w:color w:val="000000" w:themeColor="text1"/>
        </w:rPr>
        <w:t xml:space="preserve">  mede vanwege de inhoudelijke verbinding met de woningbouwagenda.</w:t>
      </w:r>
    </w:p>
    <w:p w14:paraId="3BD5EE51" w14:textId="77777777" w:rsidR="00A52FF5" w:rsidRDefault="00A52FF5" w:rsidP="00A52FF5">
      <w:pPr>
        <w:rPr>
          <w:iCs/>
          <w:color w:val="000000" w:themeColor="text1"/>
        </w:rPr>
      </w:pPr>
    </w:p>
    <w:p w14:paraId="19245D04" w14:textId="05171E33" w:rsidR="00A52FF5" w:rsidRDefault="00A52FF5" w:rsidP="00A52FF5">
      <w:pPr>
        <w:rPr>
          <w:iCs/>
          <w:color w:val="000000" w:themeColor="text1"/>
        </w:rPr>
      </w:pPr>
      <w:r>
        <w:rPr>
          <w:iCs/>
          <w:color w:val="000000" w:themeColor="text1"/>
        </w:rPr>
        <w:t xml:space="preserve">Op 2 juli 2019, kenmerk PZH 2019-695664753, ontving u het Programma Huisvesting Arbeidsmigranten. Op 25 maart 2021 is een conferentie in het kader van dit programma gehouden. In een separate brief </w:t>
      </w:r>
      <w:r w:rsidR="005214E5">
        <w:rPr>
          <w:iCs/>
          <w:color w:val="000000" w:themeColor="text1"/>
        </w:rPr>
        <w:t>ter bespreking in de commissie RWE van 26 mei 2021 informeren</w:t>
      </w:r>
      <w:r>
        <w:rPr>
          <w:iCs/>
          <w:color w:val="000000" w:themeColor="text1"/>
        </w:rPr>
        <w:t xml:space="preserve"> wij u over de beleidsaanbevelingen vanuit dit programma en de conferentie. Voor de huisvesting van arbeidsmigranten worden ook tijdelijke huurcontracten en/of tijdelijke locaties gebruikt. Daarom is dit thema verbonden met het Programmaplan Flexwonen. Op 25 november 2020 sprak u in de commissie RWE nog over dak- en thuislozen, GS-brief kenmerk PZH-2020-757785963. Ook dit thema is betrokken in het Programmaplan Flexwonen.</w:t>
      </w:r>
    </w:p>
    <w:p w14:paraId="23110FC9" w14:textId="77777777" w:rsidR="00A52FF5" w:rsidRDefault="00A52FF5" w:rsidP="00A52FF5">
      <w:pPr>
        <w:rPr>
          <w:iCs/>
          <w:color w:val="000000" w:themeColor="text1"/>
        </w:rPr>
      </w:pPr>
    </w:p>
    <w:p w14:paraId="609767BC" w14:textId="77777777" w:rsidR="00A52FF5" w:rsidRDefault="00A52FF5" w:rsidP="00A52FF5">
      <w:pPr>
        <w:rPr>
          <w:iCs/>
          <w:color w:val="000000" w:themeColor="text1"/>
        </w:rPr>
      </w:pPr>
      <w:r>
        <w:rPr>
          <w:iCs/>
          <w:color w:val="000000" w:themeColor="text1"/>
        </w:rPr>
        <w:t xml:space="preserve">In het vervolg van deze brief geven we u in hoofdlijnen aan wat flexwonen is en hoe we dit door gebruik van het programmaplan de komende jaren verder bevorderen. Voor een meer uitvoerige </w:t>
      </w:r>
      <w:r>
        <w:rPr>
          <w:iCs/>
          <w:color w:val="000000" w:themeColor="text1"/>
        </w:rPr>
        <w:lastRenderedPageBreak/>
        <w:t>uitleg, cijfers en bronnen verwijzen wij u graag naar het programmaplan zelf, dat als bijlage bij deze brief is gevoegd.</w:t>
      </w:r>
    </w:p>
    <w:p w14:paraId="2B738FB5" w14:textId="77777777" w:rsidR="00A52FF5" w:rsidRDefault="00A52FF5" w:rsidP="00A52FF5">
      <w:pPr>
        <w:rPr>
          <w:iCs/>
          <w:color w:val="000000" w:themeColor="text1"/>
        </w:rPr>
      </w:pPr>
    </w:p>
    <w:p w14:paraId="0B5CE8A0" w14:textId="77777777" w:rsidR="00A52FF5" w:rsidRPr="00320645" w:rsidRDefault="00A52FF5" w:rsidP="00A52FF5">
      <w:pPr>
        <w:rPr>
          <w:b/>
          <w:bCs/>
          <w:iCs/>
          <w:color w:val="000000" w:themeColor="text1"/>
        </w:rPr>
      </w:pPr>
      <w:r w:rsidRPr="00320645">
        <w:rPr>
          <w:b/>
          <w:bCs/>
          <w:iCs/>
          <w:color w:val="000000" w:themeColor="text1"/>
        </w:rPr>
        <w:t>A</w:t>
      </w:r>
      <w:r>
        <w:rPr>
          <w:b/>
          <w:bCs/>
          <w:iCs/>
          <w:color w:val="000000" w:themeColor="text1"/>
        </w:rPr>
        <w:t>mbitie en doelen</w:t>
      </w:r>
    </w:p>
    <w:p w14:paraId="30B589D0" w14:textId="2C91EA00" w:rsidR="000A3402" w:rsidRPr="00320645" w:rsidRDefault="00A52FF5" w:rsidP="000A3402">
      <w:pPr>
        <w:rPr>
          <w:iCs/>
          <w:color w:val="000000" w:themeColor="text1"/>
        </w:rPr>
      </w:pPr>
      <w:r>
        <w:rPr>
          <w:iCs/>
          <w:color w:val="000000" w:themeColor="text1"/>
        </w:rPr>
        <w:t xml:space="preserve">Er is </w:t>
      </w:r>
      <w:r w:rsidRPr="00320645">
        <w:rPr>
          <w:iCs/>
          <w:color w:val="000000" w:themeColor="text1"/>
        </w:rPr>
        <w:t>een tekort aan woningen in het algemeen en aan woonruimten voor spoedzoekers n het bijzonder</w:t>
      </w:r>
      <w:r>
        <w:rPr>
          <w:iCs/>
          <w:color w:val="000000" w:themeColor="text1"/>
        </w:rPr>
        <w:t xml:space="preserve">. </w:t>
      </w:r>
      <w:r w:rsidR="000A3402" w:rsidRPr="00320645">
        <w:rPr>
          <w:iCs/>
          <w:color w:val="000000" w:themeColor="text1"/>
        </w:rPr>
        <w:t xml:space="preserve">Spoedzoekers zijn mensen die </w:t>
      </w:r>
      <w:r w:rsidR="000A3402">
        <w:rPr>
          <w:iCs/>
          <w:color w:val="000000" w:themeColor="text1"/>
        </w:rPr>
        <w:t xml:space="preserve">per direct </w:t>
      </w:r>
      <w:r w:rsidR="000A3402" w:rsidRPr="00320645">
        <w:rPr>
          <w:iCs/>
          <w:color w:val="000000" w:themeColor="text1"/>
        </w:rPr>
        <w:t>een woonruimte zoeken</w:t>
      </w:r>
      <w:r w:rsidR="000A3402">
        <w:rPr>
          <w:iCs/>
          <w:color w:val="000000" w:themeColor="text1"/>
        </w:rPr>
        <w:t>. Ze hebben onvoldoende inschrijfduur voor een reguliere sociale huurwoning.</w:t>
      </w:r>
      <w:r w:rsidR="000A3402" w:rsidRPr="00320645">
        <w:rPr>
          <w:iCs/>
          <w:color w:val="000000" w:themeColor="text1"/>
        </w:rPr>
        <w:t xml:space="preserve"> Spoedzoekers betreft een heel brede groep mensen, zoals vergunninghouders, (buitenlandse) studenten, starters op de woningmarkt, gescheiden mensen, mensen die uit hun woning zijn gezet, mensen afkomstig uit een woonzorginstelling, </w:t>
      </w:r>
      <w:r w:rsidR="000A3402">
        <w:rPr>
          <w:iCs/>
          <w:color w:val="000000" w:themeColor="text1"/>
        </w:rPr>
        <w:t xml:space="preserve">dak- en thuislozen, </w:t>
      </w:r>
      <w:r w:rsidR="000A3402" w:rsidRPr="00320645">
        <w:rPr>
          <w:iCs/>
          <w:color w:val="000000" w:themeColor="text1"/>
        </w:rPr>
        <w:t xml:space="preserve">arbeidsmigranten, mantelzorgers. </w:t>
      </w:r>
    </w:p>
    <w:p w14:paraId="0654FBC0" w14:textId="3F74B19A" w:rsidR="00A52FF5" w:rsidRDefault="00A52FF5" w:rsidP="00A52FF5">
      <w:pPr>
        <w:rPr>
          <w:iCs/>
          <w:color w:val="000000" w:themeColor="text1"/>
        </w:rPr>
      </w:pPr>
      <w:r w:rsidRPr="00830FB0">
        <w:rPr>
          <w:iCs/>
          <w:color w:val="000000" w:themeColor="text1"/>
        </w:rPr>
        <w:t xml:space="preserve">In het Coalitieakkoord 2019-2023 </w:t>
      </w:r>
      <w:r>
        <w:rPr>
          <w:iCs/>
          <w:color w:val="000000" w:themeColor="text1"/>
        </w:rPr>
        <w:t>‘</w:t>
      </w:r>
      <w:r w:rsidRPr="00830FB0">
        <w:rPr>
          <w:iCs/>
          <w:color w:val="000000" w:themeColor="text1"/>
        </w:rPr>
        <w:t>Elke dag beter</w:t>
      </w:r>
      <w:r>
        <w:rPr>
          <w:iCs/>
          <w:color w:val="000000" w:themeColor="text1"/>
        </w:rPr>
        <w:t>’</w:t>
      </w:r>
      <w:r w:rsidRPr="00830FB0">
        <w:rPr>
          <w:iCs/>
          <w:color w:val="000000" w:themeColor="text1"/>
        </w:rPr>
        <w:t xml:space="preserve"> </w:t>
      </w:r>
      <w:r>
        <w:rPr>
          <w:iCs/>
          <w:color w:val="000000" w:themeColor="text1"/>
        </w:rPr>
        <w:t>hebben we</w:t>
      </w:r>
      <w:r w:rsidRPr="00830FB0">
        <w:rPr>
          <w:iCs/>
          <w:color w:val="000000" w:themeColor="text1"/>
        </w:rPr>
        <w:t xml:space="preserve"> </w:t>
      </w:r>
      <w:r>
        <w:rPr>
          <w:iCs/>
          <w:color w:val="000000" w:themeColor="text1"/>
        </w:rPr>
        <w:t xml:space="preserve">daarom </w:t>
      </w:r>
      <w:r w:rsidRPr="00830FB0">
        <w:rPr>
          <w:iCs/>
          <w:color w:val="000000" w:themeColor="text1"/>
        </w:rPr>
        <w:t>flexwonen genoemd als één van de middelen om passend woningaanbod voor specifieke doelgroepen te bieden.</w:t>
      </w:r>
      <w:r>
        <w:rPr>
          <w:iCs/>
          <w:color w:val="000000" w:themeColor="text1"/>
        </w:rPr>
        <w:t xml:space="preserve"> </w:t>
      </w:r>
    </w:p>
    <w:p w14:paraId="60E3FC84" w14:textId="458A0112" w:rsidR="00AF41A4" w:rsidRDefault="00AF41A4" w:rsidP="00A52FF5">
      <w:pPr>
        <w:rPr>
          <w:iCs/>
          <w:color w:val="000000" w:themeColor="text1"/>
        </w:rPr>
      </w:pPr>
      <w:r>
        <w:rPr>
          <w:iCs/>
          <w:color w:val="000000" w:themeColor="text1"/>
        </w:rPr>
        <w:t>Hoewel de inzet van het college primair gericht blijft op het toevoegen van reguliere woonplakken zien we in flexwonen een middel om, binnen de kaders van het provinciale Omgevingsbeleid snel meer passende woonruimte te helpen realiseren. Het college richt zich met haar inzet wat betreft de locaties voor flexwoningen op locaties waar wonen wenselijk is volgens ons beleid.</w:t>
      </w:r>
    </w:p>
    <w:p w14:paraId="054A9C04" w14:textId="0C420E94" w:rsidR="00A52FF5" w:rsidRPr="00320645" w:rsidRDefault="00A52FF5" w:rsidP="00A52FF5">
      <w:pPr>
        <w:rPr>
          <w:iCs/>
          <w:color w:val="000000" w:themeColor="text1"/>
        </w:rPr>
      </w:pPr>
      <w:r w:rsidRPr="00320645">
        <w:rPr>
          <w:iCs/>
          <w:color w:val="000000" w:themeColor="text1"/>
        </w:rPr>
        <w:t xml:space="preserve">Dit door het ontwikkelen en delen van kennis over </w:t>
      </w:r>
      <w:r>
        <w:rPr>
          <w:iCs/>
          <w:color w:val="000000" w:themeColor="text1"/>
        </w:rPr>
        <w:t>f</w:t>
      </w:r>
      <w:r w:rsidRPr="00320645">
        <w:rPr>
          <w:iCs/>
          <w:color w:val="000000" w:themeColor="text1"/>
        </w:rPr>
        <w:t>lexwonen en door te onderzoeken of belemmeringen</w:t>
      </w:r>
      <w:r>
        <w:rPr>
          <w:iCs/>
          <w:color w:val="000000" w:themeColor="text1"/>
        </w:rPr>
        <w:t xml:space="preserve"> </w:t>
      </w:r>
      <w:r w:rsidRPr="00320645">
        <w:rPr>
          <w:iCs/>
          <w:color w:val="000000" w:themeColor="text1"/>
        </w:rPr>
        <w:t>weggenomen kunnen worden.</w:t>
      </w:r>
      <w:r>
        <w:rPr>
          <w:iCs/>
          <w:color w:val="000000" w:themeColor="text1"/>
        </w:rPr>
        <w:t xml:space="preserve"> Dit vraagt om een programmatische aanpak samen met partners. Het programma geeft aan op welke aspecten, die bij flexwonen aan de orde zijn, wij </w:t>
      </w:r>
      <w:r w:rsidR="00842AC7">
        <w:rPr>
          <w:iCs/>
          <w:color w:val="000000" w:themeColor="text1"/>
        </w:rPr>
        <w:t xml:space="preserve">de </w:t>
      </w:r>
      <w:r>
        <w:rPr>
          <w:iCs/>
          <w:color w:val="000000" w:themeColor="text1"/>
        </w:rPr>
        <w:t xml:space="preserve">regie nemen. In gesprekken met externe partijen en door middel van een vragenlijst hebben we gepeild wat er momenteel in de lokale praktijk </w:t>
      </w:r>
      <w:r w:rsidR="000A3402">
        <w:rPr>
          <w:iCs/>
          <w:color w:val="000000" w:themeColor="text1"/>
        </w:rPr>
        <w:t xml:space="preserve">op het terrein van flexwonen </w:t>
      </w:r>
      <w:r>
        <w:rPr>
          <w:iCs/>
          <w:color w:val="000000" w:themeColor="text1"/>
        </w:rPr>
        <w:t xml:space="preserve">speelt. Welke belemmeringen worden ervaren en hoe kan de </w:t>
      </w:r>
      <w:r w:rsidR="000A4109">
        <w:rPr>
          <w:iCs/>
          <w:color w:val="000000" w:themeColor="text1"/>
        </w:rPr>
        <w:t>p</w:t>
      </w:r>
      <w:r>
        <w:rPr>
          <w:iCs/>
          <w:color w:val="000000" w:themeColor="text1"/>
        </w:rPr>
        <w:t xml:space="preserve">rovincie </w:t>
      </w:r>
      <w:r w:rsidR="00842AC7">
        <w:rPr>
          <w:iCs/>
          <w:color w:val="000000" w:themeColor="text1"/>
        </w:rPr>
        <w:t xml:space="preserve">hierbij </w:t>
      </w:r>
      <w:r>
        <w:rPr>
          <w:iCs/>
          <w:color w:val="000000" w:themeColor="text1"/>
        </w:rPr>
        <w:t xml:space="preserve">ondersteunen. Wij kiezen in de meeste gevallen </w:t>
      </w:r>
      <w:r w:rsidR="00842AC7">
        <w:rPr>
          <w:iCs/>
          <w:color w:val="000000" w:themeColor="text1"/>
        </w:rPr>
        <w:t xml:space="preserve">voor </w:t>
      </w:r>
      <w:r>
        <w:rPr>
          <w:iCs/>
          <w:color w:val="000000" w:themeColor="text1"/>
        </w:rPr>
        <w:t xml:space="preserve">een </w:t>
      </w:r>
      <w:r w:rsidR="000B0B9D">
        <w:rPr>
          <w:iCs/>
          <w:color w:val="000000" w:themeColor="text1"/>
        </w:rPr>
        <w:t>samenwerkende</w:t>
      </w:r>
      <w:r>
        <w:rPr>
          <w:iCs/>
          <w:color w:val="000000" w:themeColor="text1"/>
        </w:rPr>
        <w:t xml:space="preserve"> opstelling. Naast gemeenten wordt er nadrukkelijk ook samenwerking gezocht met woningcorporaties, zorgpartijen, kennisinstituten en het Rijk. Dit geldt voor zowel de totstandkoming als de uitvoering</w:t>
      </w:r>
      <w:r w:rsidR="00842AC7">
        <w:rPr>
          <w:iCs/>
          <w:color w:val="000000" w:themeColor="text1"/>
        </w:rPr>
        <w:t xml:space="preserve"> van</w:t>
      </w:r>
      <w:r w:rsidR="000A4109">
        <w:rPr>
          <w:iCs/>
          <w:color w:val="000000" w:themeColor="text1"/>
        </w:rPr>
        <w:t xml:space="preserve"> flexwoonprojecten</w:t>
      </w:r>
      <w:r>
        <w:rPr>
          <w:iCs/>
          <w:color w:val="000000" w:themeColor="text1"/>
        </w:rPr>
        <w:t>. Op 27 januari 2021 is vanuit de Bouwagenda een bestuurlijke Bouwkeet-conferentie georganiseerd rondom flexwonen</w:t>
      </w:r>
      <w:r w:rsidR="00842AC7">
        <w:rPr>
          <w:iCs/>
          <w:color w:val="000000" w:themeColor="text1"/>
        </w:rPr>
        <w:t>.</w:t>
      </w:r>
      <w:r>
        <w:rPr>
          <w:iCs/>
          <w:color w:val="000000" w:themeColor="text1"/>
        </w:rPr>
        <w:t xml:space="preserve"> </w:t>
      </w:r>
      <w:r w:rsidR="005214E5">
        <w:rPr>
          <w:iCs/>
          <w:color w:val="000000" w:themeColor="text1"/>
        </w:rPr>
        <w:t>O</w:t>
      </w:r>
      <w:r>
        <w:rPr>
          <w:iCs/>
          <w:color w:val="000000" w:themeColor="text1"/>
        </w:rPr>
        <w:t>p 12 mei jl</w:t>
      </w:r>
      <w:r w:rsidR="00842AC7">
        <w:rPr>
          <w:iCs/>
          <w:color w:val="000000" w:themeColor="text1"/>
        </w:rPr>
        <w:t>.</w:t>
      </w:r>
      <w:r>
        <w:rPr>
          <w:iCs/>
          <w:color w:val="000000" w:themeColor="text1"/>
        </w:rPr>
        <w:t xml:space="preserve"> </w:t>
      </w:r>
      <w:r w:rsidR="005214E5">
        <w:rPr>
          <w:iCs/>
          <w:color w:val="000000" w:themeColor="text1"/>
        </w:rPr>
        <w:t xml:space="preserve">is er </w:t>
      </w:r>
      <w:r>
        <w:rPr>
          <w:iCs/>
          <w:color w:val="000000" w:themeColor="text1"/>
        </w:rPr>
        <w:t xml:space="preserve">een vervolg </w:t>
      </w:r>
      <w:r w:rsidR="005214E5">
        <w:rPr>
          <w:iCs/>
          <w:color w:val="000000" w:themeColor="text1"/>
        </w:rPr>
        <w:t>B</w:t>
      </w:r>
      <w:r>
        <w:rPr>
          <w:iCs/>
          <w:color w:val="000000" w:themeColor="text1"/>
        </w:rPr>
        <w:t>ouwkeet</w:t>
      </w:r>
      <w:r w:rsidR="00842AC7">
        <w:rPr>
          <w:iCs/>
          <w:color w:val="000000" w:themeColor="text1"/>
        </w:rPr>
        <w:t>-conferentie</w:t>
      </w:r>
      <w:r>
        <w:rPr>
          <w:iCs/>
          <w:color w:val="000000" w:themeColor="text1"/>
        </w:rPr>
        <w:t xml:space="preserve"> </w:t>
      </w:r>
      <w:r w:rsidR="005214E5">
        <w:rPr>
          <w:iCs/>
          <w:color w:val="000000" w:themeColor="text1"/>
        </w:rPr>
        <w:t xml:space="preserve">gehouden </w:t>
      </w:r>
      <w:r>
        <w:rPr>
          <w:iCs/>
          <w:color w:val="000000" w:themeColor="text1"/>
        </w:rPr>
        <w:t>aan de hand van voorbeelden uit Gouda, Leiden en Rotterdam.</w:t>
      </w:r>
    </w:p>
    <w:p w14:paraId="1A4FFFD3" w14:textId="77777777" w:rsidR="00A52FF5" w:rsidRPr="00320645" w:rsidRDefault="00A52FF5" w:rsidP="00A52FF5">
      <w:pPr>
        <w:rPr>
          <w:iCs/>
          <w:color w:val="000000" w:themeColor="text1"/>
        </w:rPr>
      </w:pPr>
    </w:p>
    <w:p w14:paraId="0A16083D" w14:textId="77777777" w:rsidR="00A52FF5" w:rsidRDefault="00A52FF5" w:rsidP="00A52FF5">
      <w:pPr>
        <w:rPr>
          <w:b/>
          <w:bCs/>
          <w:iCs/>
          <w:color w:val="000000" w:themeColor="text1"/>
        </w:rPr>
      </w:pPr>
      <w:r>
        <w:rPr>
          <w:b/>
          <w:bCs/>
          <w:iCs/>
          <w:color w:val="000000" w:themeColor="text1"/>
        </w:rPr>
        <w:t>Uitgangspunten</w:t>
      </w:r>
    </w:p>
    <w:p w14:paraId="57CDDAE7" w14:textId="77777777" w:rsidR="00A52FF5" w:rsidRPr="00AC5E54" w:rsidRDefault="00A52FF5" w:rsidP="00A52FF5">
      <w:pPr>
        <w:rPr>
          <w:iCs/>
          <w:color w:val="000000" w:themeColor="text1"/>
        </w:rPr>
      </w:pPr>
    </w:p>
    <w:p w14:paraId="0F53B0F4" w14:textId="01678049" w:rsidR="00A52FF5" w:rsidRPr="00320645" w:rsidRDefault="00A52FF5" w:rsidP="00A52FF5">
      <w:pPr>
        <w:rPr>
          <w:iCs/>
          <w:color w:val="000000" w:themeColor="text1"/>
        </w:rPr>
      </w:pPr>
      <w:r w:rsidRPr="00320645">
        <w:rPr>
          <w:iCs/>
          <w:color w:val="000000" w:themeColor="text1"/>
        </w:rPr>
        <w:t xml:space="preserve">Met </w:t>
      </w:r>
      <w:r w:rsidR="000A3402">
        <w:rPr>
          <w:iCs/>
          <w:color w:val="000000" w:themeColor="text1"/>
        </w:rPr>
        <w:t>fl</w:t>
      </w:r>
      <w:r w:rsidRPr="00320645">
        <w:rPr>
          <w:iCs/>
          <w:color w:val="000000" w:themeColor="text1"/>
        </w:rPr>
        <w:t xml:space="preserve">exwonen wordt gedoeld op verschillende soorten tijdelijke (en veelal </w:t>
      </w:r>
      <w:r>
        <w:rPr>
          <w:iCs/>
          <w:color w:val="000000" w:themeColor="text1"/>
        </w:rPr>
        <w:t xml:space="preserve">kleine en </w:t>
      </w:r>
      <w:r w:rsidRPr="00320645">
        <w:rPr>
          <w:iCs/>
          <w:color w:val="000000" w:themeColor="text1"/>
        </w:rPr>
        <w:t>goedkope) woonoplossingen</w:t>
      </w:r>
      <w:r>
        <w:rPr>
          <w:iCs/>
          <w:color w:val="000000" w:themeColor="text1"/>
        </w:rPr>
        <w:t xml:space="preserve"> voor spoedzoekers</w:t>
      </w:r>
      <w:r w:rsidRPr="00320645">
        <w:rPr>
          <w:iCs/>
          <w:color w:val="000000" w:themeColor="text1"/>
        </w:rPr>
        <w:t xml:space="preserve">. Kenmerkend is het tijdelijk karakter van tenminste één van de volgende aspecten: </w:t>
      </w:r>
    </w:p>
    <w:p w14:paraId="18B83CBC" w14:textId="77777777" w:rsidR="00A52FF5" w:rsidRPr="008B677D" w:rsidRDefault="00A52FF5" w:rsidP="00FD669A">
      <w:pPr>
        <w:pStyle w:val="Lijstalinea"/>
        <w:numPr>
          <w:ilvl w:val="0"/>
          <w:numId w:val="5"/>
        </w:numPr>
        <w:rPr>
          <w:iCs/>
          <w:color w:val="000000" w:themeColor="text1"/>
        </w:rPr>
      </w:pPr>
      <w:r w:rsidRPr="008B677D">
        <w:rPr>
          <w:iCs/>
          <w:color w:val="000000" w:themeColor="text1"/>
        </w:rPr>
        <w:t xml:space="preserve">de woning zelf, </w:t>
      </w:r>
    </w:p>
    <w:p w14:paraId="6EFEC5B2" w14:textId="77777777" w:rsidR="00A52FF5" w:rsidRPr="008B677D" w:rsidRDefault="00A52FF5" w:rsidP="00FD669A">
      <w:pPr>
        <w:pStyle w:val="Lijstalinea"/>
        <w:numPr>
          <w:ilvl w:val="0"/>
          <w:numId w:val="5"/>
        </w:numPr>
        <w:rPr>
          <w:iCs/>
          <w:color w:val="000000" w:themeColor="text1"/>
        </w:rPr>
      </w:pPr>
      <w:r w:rsidRPr="008B677D">
        <w:rPr>
          <w:iCs/>
          <w:color w:val="000000" w:themeColor="text1"/>
        </w:rPr>
        <w:t xml:space="preserve">de bewoning (via het gebruik van een tijdelijk huurcontract), of </w:t>
      </w:r>
    </w:p>
    <w:p w14:paraId="3EF32FDB" w14:textId="77777777" w:rsidR="00A52FF5" w:rsidRDefault="00A52FF5" w:rsidP="00FD669A">
      <w:pPr>
        <w:pStyle w:val="Lijstalinea"/>
        <w:numPr>
          <w:ilvl w:val="0"/>
          <w:numId w:val="5"/>
        </w:numPr>
        <w:rPr>
          <w:iCs/>
          <w:color w:val="000000" w:themeColor="text1"/>
        </w:rPr>
      </w:pPr>
      <w:r w:rsidRPr="008B677D">
        <w:rPr>
          <w:iCs/>
          <w:color w:val="000000" w:themeColor="text1"/>
        </w:rPr>
        <w:t xml:space="preserve">het gebruik van de locatie waarop een woning wordt geplaatst. </w:t>
      </w:r>
    </w:p>
    <w:p w14:paraId="127FB782" w14:textId="77777777" w:rsidR="00A52FF5" w:rsidRPr="00252F15" w:rsidRDefault="00A52FF5" w:rsidP="00A52FF5">
      <w:pPr>
        <w:pStyle w:val="Lijstalinea"/>
        <w:rPr>
          <w:iCs/>
          <w:color w:val="000000" w:themeColor="text1"/>
        </w:rPr>
      </w:pPr>
    </w:p>
    <w:p w14:paraId="167E4B06" w14:textId="77777777" w:rsidR="00A52FF5" w:rsidRPr="008B677D" w:rsidRDefault="00A52FF5" w:rsidP="00A52FF5">
      <w:pPr>
        <w:rPr>
          <w:b/>
          <w:bCs/>
          <w:iCs/>
          <w:color w:val="000000" w:themeColor="text1"/>
        </w:rPr>
      </w:pPr>
    </w:p>
    <w:p w14:paraId="0610D0F1" w14:textId="7B2B1476" w:rsidR="00A52FF5" w:rsidRPr="00320645" w:rsidRDefault="00A52FF5" w:rsidP="00A52FF5">
      <w:pPr>
        <w:rPr>
          <w:iCs/>
          <w:color w:val="000000" w:themeColor="text1"/>
        </w:rPr>
      </w:pPr>
      <w:r w:rsidRPr="00320645">
        <w:rPr>
          <w:iCs/>
          <w:color w:val="000000" w:themeColor="text1"/>
        </w:rPr>
        <w:t xml:space="preserve">Flexwonen vergroot het aanbod van woonruimte voor spoedzoekers. Dat is nodig omdat de huidige woningmarkt te weinig woonruimte biedt. Tijdelijke woonoplossingen helpen te voorzien in woningen die snel beschikbaar komen voor spoedzoekers. Daarmee </w:t>
      </w:r>
      <w:r>
        <w:rPr>
          <w:iCs/>
          <w:color w:val="000000" w:themeColor="text1"/>
        </w:rPr>
        <w:t xml:space="preserve">kunnen </w:t>
      </w:r>
      <w:r w:rsidRPr="00320645">
        <w:rPr>
          <w:iCs/>
          <w:color w:val="000000" w:themeColor="text1"/>
        </w:rPr>
        <w:t xml:space="preserve">een aantal minder gewenste </w:t>
      </w:r>
      <w:r w:rsidR="00842AC7">
        <w:rPr>
          <w:iCs/>
          <w:color w:val="000000" w:themeColor="text1"/>
        </w:rPr>
        <w:t>alternatieven</w:t>
      </w:r>
      <w:r w:rsidRPr="00320645">
        <w:rPr>
          <w:iCs/>
          <w:color w:val="000000" w:themeColor="text1"/>
        </w:rPr>
        <w:t xml:space="preserve"> die spoedzoekers nu gebruiken</w:t>
      </w:r>
      <w:r>
        <w:rPr>
          <w:iCs/>
          <w:color w:val="000000" w:themeColor="text1"/>
        </w:rPr>
        <w:t xml:space="preserve"> </w:t>
      </w:r>
      <w:r w:rsidRPr="00320645">
        <w:rPr>
          <w:iCs/>
          <w:color w:val="000000" w:themeColor="text1"/>
        </w:rPr>
        <w:t>verminderen</w:t>
      </w:r>
      <w:r>
        <w:rPr>
          <w:iCs/>
          <w:color w:val="000000" w:themeColor="text1"/>
        </w:rPr>
        <w:t xml:space="preserve">. Te denken valt aan </w:t>
      </w:r>
      <w:r w:rsidRPr="00320645">
        <w:rPr>
          <w:iCs/>
          <w:color w:val="000000" w:themeColor="text1"/>
        </w:rPr>
        <w:t>permanente bewoning van recreatieterreinen,</w:t>
      </w:r>
      <w:r>
        <w:rPr>
          <w:iCs/>
          <w:color w:val="000000" w:themeColor="text1"/>
        </w:rPr>
        <w:t xml:space="preserve"> overbewoning, dakloosheid, instandhouding niet-noodzakelijke intramurale zorg enzovoort.</w:t>
      </w:r>
    </w:p>
    <w:p w14:paraId="4E2C6406" w14:textId="4F1C76DA" w:rsidR="00A52FF5" w:rsidRDefault="00A52FF5" w:rsidP="00A52FF5">
      <w:pPr>
        <w:rPr>
          <w:iCs/>
          <w:color w:val="000000" w:themeColor="text1"/>
        </w:rPr>
      </w:pPr>
      <w:r w:rsidRPr="00320645">
        <w:rPr>
          <w:iCs/>
          <w:color w:val="000000" w:themeColor="text1"/>
        </w:rPr>
        <w:lastRenderedPageBreak/>
        <w:t>Flexwonen biedt ook een mogelijkheid om snel extra woningen aan de woningvoorraad toe te voegen door tijdelijke woningen op (tijdelijke) locaties of in leegstaand vastgoed te realiseren. Hierdoor wordt de druk op de woningmarkt verminderd</w:t>
      </w:r>
      <w:r>
        <w:rPr>
          <w:iCs/>
          <w:color w:val="000000" w:themeColor="text1"/>
        </w:rPr>
        <w:t xml:space="preserve"> en wordt schaarse ruimte beter benut</w:t>
      </w:r>
      <w:r w:rsidRPr="00320645">
        <w:rPr>
          <w:iCs/>
          <w:color w:val="000000" w:themeColor="text1"/>
        </w:rPr>
        <w:t xml:space="preserve">. </w:t>
      </w:r>
      <w:r>
        <w:rPr>
          <w:iCs/>
          <w:color w:val="000000" w:themeColor="text1"/>
        </w:rPr>
        <w:t xml:space="preserve">Verplaatsbare en modulaire woningen worden veelal in </w:t>
      </w:r>
      <w:r w:rsidR="00842AC7">
        <w:rPr>
          <w:iCs/>
          <w:color w:val="000000" w:themeColor="text1"/>
        </w:rPr>
        <w:t>een</w:t>
      </w:r>
      <w:r>
        <w:rPr>
          <w:iCs/>
          <w:color w:val="000000" w:themeColor="text1"/>
        </w:rPr>
        <w:t xml:space="preserve"> fabriek gebouwd </w:t>
      </w:r>
      <w:r w:rsidR="000A3402">
        <w:rPr>
          <w:iCs/>
          <w:color w:val="000000" w:themeColor="text1"/>
        </w:rPr>
        <w:t xml:space="preserve">van </w:t>
      </w:r>
      <w:r>
        <w:rPr>
          <w:iCs/>
          <w:color w:val="000000" w:themeColor="text1"/>
        </w:rPr>
        <w:t>hout. Dit heeft ten opzichte van traditionele nieuwbouw stikstofvoordelen en biedt meer kansen voor hergebruik van materialen.</w:t>
      </w:r>
    </w:p>
    <w:p w14:paraId="1806160B" w14:textId="77777777" w:rsidR="00A52FF5" w:rsidRDefault="00A52FF5" w:rsidP="00A52FF5">
      <w:pPr>
        <w:rPr>
          <w:iCs/>
          <w:color w:val="000000" w:themeColor="text1"/>
        </w:rPr>
      </w:pPr>
      <w:r w:rsidRPr="00320645">
        <w:rPr>
          <w:iCs/>
          <w:color w:val="000000" w:themeColor="text1"/>
        </w:rPr>
        <w:t xml:space="preserve">Met de verstedelijkingsopgave die er ligt wordt voor een groot deel ingezet op de verdichtingsopgave. Flexwonen kan helpen als flexibele schil om de bestaande woningvoorraad </w:t>
      </w:r>
    </w:p>
    <w:p w14:paraId="3C8871FF" w14:textId="77777777" w:rsidR="00A52FF5" w:rsidRDefault="00A52FF5" w:rsidP="00A52FF5">
      <w:pPr>
        <w:rPr>
          <w:iCs/>
          <w:color w:val="000000" w:themeColor="text1"/>
        </w:rPr>
      </w:pPr>
      <w:r w:rsidRPr="00320645">
        <w:rPr>
          <w:iCs/>
          <w:color w:val="000000" w:themeColor="text1"/>
        </w:rPr>
        <w:t>heen en fungeren als ‘ventiel’ voor de verstedelijkingsdruk</w:t>
      </w:r>
      <w:r>
        <w:rPr>
          <w:iCs/>
          <w:color w:val="000000" w:themeColor="text1"/>
        </w:rPr>
        <w:t xml:space="preserve"> en de krappe woningmarkt</w:t>
      </w:r>
      <w:r w:rsidRPr="00320645">
        <w:rPr>
          <w:iCs/>
          <w:color w:val="000000" w:themeColor="text1"/>
        </w:rPr>
        <w:t>.</w:t>
      </w:r>
    </w:p>
    <w:p w14:paraId="598A20D9" w14:textId="77777777" w:rsidR="00A52FF5" w:rsidRPr="00DD7102" w:rsidRDefault="00A52FF5" w:rsidP="00A52FF5">
      <w:pPr>
        <w:rPr>
          <w:b/>
          <w:bCs/>
          <w:iCs/>
          <w:color w:val="000000" w:themeColor="text1"/>
        </w:rPr>
      </w:pPr>
    </w:p>
    <w:p w14:paraId="231AFD2D" w14:textId="7A776737" w:rsidR="00A52FF5" w:rsidRDefault="00A52FF5" w:rsidP="00A52FF5">
      <w:pPr>
        <w:rPr>
          <w:iCs/>
          <w:color w:val="000000" w:themeColor="text1"/>
        </w:rPr>
      </w:pPr>
      <w:r>
        <w:rPr>
          <w:iCs/>
          <w:color w:val="000000" w:themeColor="text1"/>
        </w:rPr>
        <w:t xml:space="preserve">Vanaf </w:t>
      </w:r>
      <w:r w:rsidRPr="00830FB0">
        <w:rPr>
          <w:iCs/>
          <w:color w:val="000000" w:themeColor="text1"/>
        </w:rPr>
        <w:t xml:space="preserve">2016 (Wet doorstroming huurmarkt) </w:t>
      </w:r>
      <w:r>
        <w:rPr>
          <w:iCs/>
          <w:color w:val="000000" w:themeColor="text1"/>
        </w:rPr>
        <w:t xml:space="preserve">is het in Nederland toegestaan </w:t>
      </w:r>
      <w:r w:rsidRPr="00830FB0">
        <w:rPr>
          <w:iCs/>
          <w:color w:val="000000" w:themeColor="text1"/>
        </w:rPr>
        <w:t>om tijdelijke huurcontracten</w:t>
      </w:r>
      <w:r>
        <w:rPr>
          <w:iCs/>
          <w:color w:val="000000" w:themeColor="text1"/>
        </w:rPr>
        <w:t xml:space="preserve"> af te sluiten. E</w:t>
      </w:r>
      <w:r w:rsidRPr="00830FB0">
        <w:rPr>
          <w:iCs/>
          <w:color w:val="000000" w:themeColor="text1"/>
        </w:rPr>
        <w:t xml:space="preserve">en tijdelijk huurcontract </w:t>
      </w:r>
      <w:r>
        <w:rPr>
          <w:iCs/>
          <w:color w:val="000000" w:themeColor="text1"/>
        </w:rPr>
        <w:t>mag momenteel</w:t>
      </w:r>
      <w:r w:rsidRPr="00830FB0">
        <w:rPr>
          <w:iCs/>
          <w:color w:val="000000" w:themeColor="text1"/>
        </w:rPr>
        <w:t xml:space="preserve"> </w:t>
      </w:r>
      <w:r>
        <w:rPr>
          <w:iCs/>
          <w:color w:val="000000" w:themeColor="text1"/>
        </w:rPr>
        <w:t xml:space="preserve">maximaal </w:t>
      </w:r>
      <w:r w:rsidRPr="00830FB0">
        <w:rPr>
          <w:iCs/>
          <w:color w:val="000000" w:themeColor="text1"/>
        </w:rPr>
        <w:t>drie jaar</w:t>
      </w:r>
      <w:r>
        <w:rPr>
          <w:iCs/>
          <w:color w:val="000000" w:themeColor="text1"/>
        </w:rPr>
        <w:t xml:space="preserve"> duren</w:t>
      </w:r>
      <w:r w:rsidRPr="00830FB0">
        <w:rPr>
          <w:iCs/>
          <w:color w:val="000000" w:themeColor="text1"/>
        </w:rPr>
        <w:t xml:space="preserve">. </w:t>
      </w:r>
      <w:r>
        <w:rPr>
          <w:iCs/>
          <w:color w:val="000000" w:themeColor="text1"/>
        </w:rPr>
        <w:t>Jongeren tot 27 jaar kunnen contracten van maximaal 5 jaar aangaan. Een tijdelijk h</w:t>
      </w:r>
      <w:r w:rsidRPr="00830FB0">
        <w:rPr>
          <w:iCs/>
          <w:color w:val="000000" w:themeColor="text1"/>
        </w:rPr>
        <w:t xml:space="preserve">uurcontract </w:t>
      </w:r>
      <w:r>
        <w:rPr>
          <w:iCs/>
          <w:color w:val="000000" w:themeColor="text1"/>
        </w:rPr>
        <w:t xml:space="preserve">kan vervallen als de </w:t>
      </w:r>
      <w:r w:rsidRPr="00830FB0">
        <w:rPr>
          <w:iCs/>
          <w:color w:val="000000" w:themeColor="text1"/>
        </w:rPr>
        <w:t xml:space="preserve">tijdelijke locatie niet </w:t>
      </w:r>
      <w:r>
        <w:rPr>
          <w:iCs/>
          <w:color w:val="000000" w:themeColor="text1"/>
        </w:rPr>
        <w:t xml:space="preserve">meer </w:t>
      </w:r>
      <w:r w:rsidRPr="00830FB0">
        <w:rPr>
          <w:iCs/>
          <w:color w:val="000000" w:themeColor="text1"/>
        </w:rPr>
        <w:t xml:space="preserve">beschikbaar is. </w:t>
      </w:r>
      <w:r>
        <w:rPr>
          <w:iCs/>
          <w:color w:val="000000" w:themeColor="text1"/>
        </w:rPr>
        <w:t xml:space="preserve">Particuliere verhuurders kiezen bij nieuwe verhuringen sindsdien vaak voor een tijdelijk contract. Woningcorporaties doen dit mondjesmaat. Bijvoorbeeld bij verhuur aan jonge starters om meer doorstroming te  bereiken en toekomstige goedkope scheefheid door inkomensgroei te voorkomen. Vanaf </w:t>
      </w:r>
      <w:r w:rsidRPr="00830FB0">
        <w:rPr>
          <w:iCs/>
          <w:color w:val="000000" w:themeColor="text1"/>
        </w:rPr>
        <w:t xml:space="preserve">2019 </w:t>
      </w:r>
      <w:r>
        <w:rPr>
          <w:iCs/>
          <w:color w:val="000000" w:themeColor="text1"/>
        </w:rPr>
        <w:t>kunnen gemeenten besluiten lo</w:t>
      </w:r>
      <w:r w:rsidRPr="00830FB0">
        <w:rPr>
          <w:iCs/>
          <w:color w:val="000000" w:themeColor="text1"/>
        </w:rPr>
        <w:t xml:space="preserve">caties </w:t>
      </w:r>
      <w:r>
        <w:rPr>
          <w:iCs/>
          <w:color w:val="000000" w:themeColor="text1"/>
        </w:rPr>
        <w:t xml:space="preserve">of gebouwen, </w:t>
      </w:r>
      <w:r w:rsidRPr="00830FB0">
        <w:rPr>
          <w:iCs/>
          <w:color w:val="000000" w:themeColor="text1"/>
        </w:rPr>
        <w:t xml:space="preserve">waarop </w:t>
      </w:r>
      <w:r>
        <w:rPr>
          <w:iCs/>
          <w:color w:val="000000" w:themeColor="text1"/>
        </w:rPr>
        <w:t>(</w:t>
      </w:r>
      <w:r w:rsidRPr="00830FB0">
        <w:rPr>
          <w:iCs/>
          <w:color w:val="000000" w:themeColor="text1"/>
        </w:rPr>
        <w:t>nog</w:t>
      </w:r>
      <w:r>
        <w:rPr>
          <w:iCs/>
          <w:color w:val="000000" w:themeColor="text1"/>
        </w:rPr>
        <w:t>)</w:t>
      </w:r>
      <w:r w:rsidRPr="00830FB0">
        <w:rPr>
          <w:iCs/>
          <w:color w:val="000000" w:themeColor="text1"/>
        </w:rPr>
        <w:t xml:space="preserve"> geen woonbestemming rust</w:t>
      </w:r>
      <w:r>
        <w:rPr>
          <w:iCs/>
          <w:color w:val="000000" w:themeColor="text1"/>
        </w:rPr>
        <w:t>, langdurig  (</w:t>
      </w:r>
      <w:r w:rsidRPr="00830FB0">
        <w:rPr>
          <w:iCs/>
          <w:color w:val="000000" w:themeColor="text1"/>
        </w:rPr>
        <w:t xml:space="preserve"> </w:t>
      </w:r>
      <w:r>
        <w:rPr>
          <w:iCs/>
          <w:color w:val="000000" w:themeColor="text1"/>
        </w:rPr>
        <w:t xml:space="preserve">maximaal </w:t>
      </w:r>
      <w:r w:rsidRPr="00830FB0">
        <w:rPr>
          <w:iCs/>
          <w:color w:val="000000" w:themeColor="text1"/>
        </w:rPr>
        <w:t>15 jaar</w:t>
      </w:r>
      <w:r>
        <w:rPr>
          <w:iCs/>
          <w:color w:val="000000" w:themeColor="text1"/>
        </w:rPr>
        <w:t xml:space="preserve">)  </w:t>
      </w:r>
      <w:r w:rsidRPr="00830FB0">
        <w:rPr>
          <w:iCs/>
          <w:color w:val="000000" w:themeColor="text1"/>
        </w:rPr>
        <w:t>in</w:t>
      </w:r>
      <w:r>
        <w:rPr>
          <w:iCs/>
          <w:color w:val="000000" w:themeColor="text1"/>
        </w:rPr>
        <w:t xml:space="preserve"> te zetten </w:t>
      </w:r>
      <w:r w:rsidRPr="00830FB0">
        <w:rPr>
          <w:iCs/>
          <w:color w:val="000000" w:themeColor="text1"/>
        </w:rPr>
        <w:t xml:space="preserve">voor flexwoningen. </w:t>
      </w:r>
      <w:r>
        <w:rPr>
          <w:iCs/>
          <w:color w:val="000000" w:themeColor="text1"/>
        </w:rPr>
        <w:t>Met een andere ruimtelijke ordeningsprocedure kan ook gekozen worden voor andere termijnen als 5 of 10 jaar. Woningc</w:t>
      </w:r>
      <w:r w:rsidRPr="00830FB0">
        <w:rPr>
          <w:iCs/>
          <w:color w:val="000000" w:themeColor="text1"/>
        </w:rPr>
        <w:t>orporati</w:t>
      </w:r>
      <w:r>
        <w:rPr>
          <w:iCs/>
          <w:color w:val="000000" w:themeColor="text1"/>
        </w:rPr>
        <w:t xml:space="preserve">es betalen geen </w:t>
      </w:r>
      <w:r w:rsidRPr="00830FB0">
        <w:rPr>
          <w:iCs/>
          <w:color w:val="000000" w:themeColor="text1"/>
        </w:rPr>
        <w:t xml:space="preserve">verhuurdersheffing </w:t>
      </w:r>
      <w:r>
        <w:rPr>
          <w:iCs/>
          <w:color w:val="000000" w:themeColor="text1"/>
        </w:rPr>
        <w:t xml:space="preserve">voor </w:t>
      </w:r>
      <w:r w:rsidRPr="00830FB0">
        <w:rPr>
          <w:iCs/>
          <w:color w:val="000000" w:themeColor="text1"/>
        </w:rPr>
        <w:t xml:space="preserve">tijdelijke wooneenheden </w:t>
      </w:r>
      <w:r>
        <w:rPr>
          <w:iCs/>
          <w:color w:val="000000" w:themeColor="text1"/>
        </w:rPr>
        <w:t>meer</w:t>
      </w:r>
      <w:r w:rsidRPr="00830FB0">
        <w:rPr>
          <w:iCs/>
          <w:color w:val="000000" w:themeColor="text1"/>
        </w:rPr>
        <w:t xml:space="preserve">. </w:t>
      </w:r>
      <w:r>
        <w:rPr>
          <w:iCs/>
          <w:color w:val="000000" w:themeColor="text1"/>
        </w:rPr>
        <w:t xml:space="preserve">In onze </w:t>
      </w:r>
      <w:r w:rsidR="00842AC7">
        <w:rPr>
          <w:iCs/>
          <w:color w:val="000000" w:themeColor="text1"/>
        </w:rPr>
        <w:t>p</w:t>
      </w:r>
      <w:r>
        <w:rPr>
          <w:iCs/>
          <w:color w:val="000000" w:themeColor="text1"/>
        </w:rPr>
        <w:t xml:space="preserve">rovincie tellen flexwoningen niet mee </w:t>
      </w:r>
      <w:r w:rsidRPr="00830FB0">
        <w:rPr>
          <w:iCs/>
          <w:color w:val="000000" w:themeColor="text1"/>
        </w:rPr>
        <w:t xml:space="preserve">bij de bepaling van de maximaal toegestane woningbouwproductie. </w:t>
      </w:r>
    </w:p>
    <w:p w14:paraId="5D6F60BE" w14:textId="77777777" w:rsidR="00A52FF5" w:rsidRDefault="00A52FF5" w:rsidP="00A52FF5">
      <w:pPr>
        <w:rPr>
          <w:iCs/>
          <w:color w:val="000000" w:themeColor="text1"/>
        </w:rPr>
      </w:pPr>
    </w:p>
    <w:p w14:paraId="14DF381C" w14:textId="77777777" w:rsidR="00A52FF5" w:rsidRDefault="00A52FF5" w:rsidP="00A52FF5">
      <w:pPr>
        <w:rPr>
          <w:b/>
          <w:bCs/>
          <w:iCs/>
          <w:color w:val="000000" w:themeColor="text1"/>
        </w:rPr>
      </w:pPr>
      <w:r>
        <w:rPr>
          <w:b/>
          <w:bCs/>
          <w:iCs/>
          <w:color w:val="000000" w:themeColor="text1"/>
        </w:rPr>
        <w:t xml:space="preserve">Opzet </w:t>
      </w:r>
      <w:r w:rsidRPr="00A36308">
        <w:rPr>
          <w:b/>
          <w:bCs/>
          <w:iCs/>
          <w:color w:val="000000" w:themeColor="text1"/>
        </w:rPr>
        <w:t xml:space="preserve">programmaplan </w:t>
      </w:r>
    </w:p>
    <w:p w14:paraId="527850E7" w14:textId="19325EAE" w:rsidR="00A52FF5" w:rsidRDefault="00A52FF5" w:rsidP="00A52FF5">
      <w:pPr>
        <w:rPr>
          <w:iCs/>
          <w:color w:val="000000" w:themeColor="text1"/>
        </w:rPr>
      </w:pPr>
      <w:r>
        <w:rPr>
          <w:iCs/>
          <w:color w:val="000000" w:themeColor="text1"/>
        </w:rPr>
        <w:t xml:space="preserve">Nu we de uitgangspunten, de ambitie en doelen voor het programmaplan kennen leggen we graag uit welke aanpak we voor het programmaplan </w:t>
      </w:r>
      <w:r w:rsidR="000A3402">
        <w:rPr>
          <w:iCs/>
          <w:color w:val="000000" w:themeColor="text1"/>
        </w:rPr>
        <w:t>f</w:t>
      </w:r>
      <w:r w:rsidR="00577483">
        <w:rPr>
          <w:iCs/>
          <w:color w:val="000000" w:themeColor="text1"/>
        </w:rPr>
        <w:t xml:space="preserve">lexwonen </w:t>
      </w:r>
      <w:r>
        <w:rPr>
          <w:iCs/>
          <w:color w:val="000000" w:themeColor="text1"/>
        </w:rPr>
        <w:t>kiezen en waarom. In onderstaande figuur, een samenvatting van het programmaplan, is te zien dat de gekozen strategie hierbij een rol speelt.</w:t>
      </w:r>
    </w:p>
    <w:p w14:paraId="6CC499BD" w14:textId="6F39AC16" w:rsidR="00A52FF5" w:rsidRDefault="00A52FF5" w:rsidP="00A52FF5">
      <w:pPr>
        <w:rPr>
          <w:iCs/>
          <w:color w:val="000000" w:themeColor="text1"/>
        </w:rPr>
      </w:pPr>
      <w:r>
        <w:rPr>
          <w:iCs/>
          <w:color w:val="000000" w:themeColor="text1"/>
        </w:rPr>
        <w:t xml:space="preserve">Wij bouwen voort op opgedane kennis en ervaring: het genoemde programma arbeidsmigranten is daar belangrijk in, maar ook ervaringen van </w:t>
      </w:r>
      <w:r w:rsidR="00577483">
        <w:rPr>
          <w:iCs/>
          <w:color w:val="000000" w:themeColor="text1"/>
        </w:rPr>
        <w:t>het project de</w:t>
      </w:r>
      <w:r>
        <w:rPr>
          <w:iCs/>
          <w:color w:val="000000" w:themeColor="text1"/>
        </w:rPr>
        <w:t xml:space="preserve"> </w:t>
      </w:r>
      <w:r w:rsidR="00577483">
        <w:rPr>
          <w:iCs/>
          <w:color w:val="000000" w:themeColor="text1"/>
        </w:rPr>
        <w:t>V</w:t>
      </w:r>
      <w:r>
        <w:rPr>
          <w:iCs/>
          <w:color w:val="000000" w:themeColor="text1"/>
        </w:rPr>
        <w:t xml:space="preserve">liegende </w:t>
      </w:r>
      <w:r w:rsidR="00577483">
        <w:rPr>
          <w:iCs/>
          <w:color w:val="000000" w:themeColor="text1"/>
        </w:rPr>
        <w:t>B</w:t>
      </w:r>
      <w:r>
        <w:rPr>
          <w:iCs/>
          <w:color w:val="000000" w:themeColor="text1"/>
        </w:rPr>
        <w:t xml:space="preserve">rigade, regio-accounthouders en experimenten met flexwoningen uit het verleden. Kennis over industrieel bouwen, circulair bouwen (city deal), eerder gedane onderzoeken en publicaties van Platform 31, </w:t>
      </w:r>
      <w:r w:rsidR="00577483">
        <w:rPr>
          <w:iCs/>
          <w:color w:val="000000" w:themeColor="text1"/>
        </w:rPr>
        <w:t>h</w:t>
      </w:r>
      <w:r>
        <w:rPr>
          <w:iCs/>
          <w:color w:val="000000" w:themeColor="text1"/>
        </w:rPr>
        <w:t xml:space="preserve">et Rijk, Aedes en het Expertisecentrum Flexwonen zijn voorhanden. In onze strategie beschouwen we flexwonen nadrukkelijk als een innovatie </w:t>
      </w:r>
      <w:r w:rsidR="00577483">
        <w:rPr>
          <w:iCs/>
          <w:color w:val="000000" w:themeColor="text1"/>
        </w:rPr>
        <w:t>op</w:t>
      </w:r>
      <w:r>
        <w:rPr>
          <w:iCs/>
          <w:color w:val="000000" w:themeColor="text1"/>
        </w:rPr>
        <w:t xml:space="preserve"> de woningmarkt. Daarbij hoort theorie over de introductie van nieuwe producten. Wij hanteren niet dezelfde aanpak voor alle partners. De behoefte en ervaringen verschillen lokaal en regionaal. Er zijn koplopers en partijen met een meer afwachtende houding. Soms zijn er successen, maar ook teleurstellingen. De </w:t>
      </w:r>
      <w:r w:rsidR="00577483">
        <w:rPr>
          <w:iCs/>
          <w:color w:val="000000" w:themeColor="text1"/>
        </w:rPr>
        <w:t>ene partij</w:t>
      </w:r>
      <w:r>
        <w:rPr>
          <w:iCs/>
          <w:color w:val="000000" w:themeColor="text1"/>
        </w:rPr>
        <w:t xml:space="preserve"> kunnen we ondersteunen met een excursie langs succesvolle projecten of een goed communicatieprotocol voor omwonenden, </w:t>
      </w:r>
      <w:r w:rsidR="00577483">
        <w:rPr>
          <w:iCs/>
          <w:color w:val="000000" w:themeColor="text1"/>
        </w:rPr>
        <w:t xml:space="preserve">een </w:t>
      </w:r>
      <w:r>
        <w:rPr>
          <w:iCs/>
          <w:color w:val="000000" w:themeColor="text1"/>
        </w:rPr>
        <w:t>ander</w:t>
      </w:r>
      <w:r w:rsidR="00577483">
        <w:rPr>
          <w:iCs/>
          <w:color w:val="000000" w:themeColor="text1"/>
        </w:rPr>
        <w:t>e partij</w:t>
      </w:r>
      <w:r>
        <w:rPr>
          <w:iCs/>
          <w:color w:val="000000" w:themeColor="text1"/>
        </w:rPr>
        <w:t xml:space="preserve"> heeft behoefte aan ondersteuning met behoefteramingen, een startsubsidie of hulp bij het doorrekenen van een business-case.</w:t>
      </w:r>
    </w:p>
    <w:p w14:paraId="4B86ED36" w14:textId="7A2B557B" w:rsidR="005214E5" w:rsidRDefault="005214E5" w:rsidP="00A52FF5">
      <w:pPr>
        <w:rPr>
          <w:iCs/>
          <w:color w:val="000000" w:themeColor="text1"/>
        </w:rPr>
      </w:pPr>
    </w:p>
    <w:p w14:paraId="6B7B36B5" w14:textId="419D2D1D" w:rsidR="005214E5" w:rsidRDefault="005214E5" w:rsidP="00A52FF5">
      <w:pPr>
        <w:rPr>
          <w:iCs/>
          <w:color w:val="000000" w:themeColor="text1"/>
        </w:rPr>
      </w:pPr>
    </w:p>
    <w:p w14:paraId="45D890C5" w14:textId="653E2222" w:rsidR="005214E5" w:rsidRDefault="005214E5" w:rsidP="00A52FF5">
      <w:pPr>
        <w:rPr>
          <w:iCs/>
          <w:color w:val="000000" w:themeColor="text1"/>
        </w:rPr>
      </w:pPr>
    </w:p>
    <w:p w14:paraId="1BB05F4D" w14:textId="18AE509C" w:rsidR="000A3402" w:rsidRDefault="000A3402" w:rsidP="00A52FF5">
      <w:pPr>
        <w:rPr>
          <w:iCs/>
          <w:color w:val="000000" w:themeColor="text1"/>
        </w:rPr>
      </w:pPr>
    </w:p>
    <w:p w14:paraId="725733BB" w14:textId="110E56EB" w:rsidR="000A3402" w:rsidRDefault="000A3402" w:rsidP="00A52FF5">
      <w:pPr>
        <w:rPr>
          <w:iCs/>
          <w:color w:val="000000" w:themeColor="text1"/>
        </w:rPr>
      </w:pPr>
    </w:p>
    <w:p w14:paraId="6E29367B" w14:textId="40DE29D5" w:rsidR="000A3402" w:rsidRDefault="000A3402" w:rsidP="00A52FF5">
      <w:pPr>
        <w:rPr>
          <w:iCs/>
          <w:color w:val="000000" w:themeColor="text1"/>
        </w:rPr>
      </w:pPr>
    </w:p>
    <w:p w14:paraId="562129B8" w14:textId="77777777" w:rsidR="000A3402" w:rsidRDefault="000A3402" w:rsidP="00A52FF5">
      <w:pPr>
        <w:rPr>
          <w:iCs/>
          <w:color w:val="000000" w:themeColor="text1"/>
        </w:rPr>
      </w:pPr>
    </w:p>
    <w:p w14:paraId="4D4AD01C" w14:textId="77777777" w:rsidR="00A52FF5" w:rsidRDefault="00A52FF5" w:rsidP="00A52FF5">
      <w:pPr>
        <w:rPr>
          <w:iCs/>
          <w:color w:val="000000" w:themeColor="text1"/>
        </w:rPr>
      </w:pPr>
    </w:p>
    <w:p w14:paraId="4A1EA41A" w14:textId="77777777" w:rsidR="00A52FF5" w:rsidRDefault="00A52FF5" w:rsidP="00A52FF5">
      <w:pPr>
        <w:rPr>
          <w:iCs/>
          <w:color w:val="000000" w:themeColor="text1"/>
        </w:rPr>
      </w:pPr>
      <w:r>
        <w:rPr>
          <w:noProof/>
        </w:rPr>
        <w:drawing>
          <wp:anchor distT="0" distB="0" distL="114300" distR="114300" simplePos="0" relativeHeight="251660288" behindDoc="1" locked="0" layoutInCell="1" allowOverlap="1" wp14:anchorId="55FA0DCF" wp14:editId="3E9C22CA">
            <wp:simplePos x="0" y="0"/>
            <wp:positionH relativeFrom="margin">
              <wp:align>left</wp:align>
            </wp:positionH>
            <wp:positionV relativeFrom="paragraph">
              <wp:posOffset>12699</wp:posOffset>
            </wp:positionV>
            <wp:extent cx="5897306" cy="3686175"/>
            <wp:effectExtent l="0" t="0" r="825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897306" cy="3686175"/>
                    </a:xfrm>
                    <a:prstGeom prst="rect">
                      <a:avLst/>
                    </a:prstGeom>
                  </pic:spPr>
                </pic:pic>
              </a:graphicData>
            </a:graphic>
            <wp14:sizeRelH relativeFrom="margin">
              <wp14:pctWidth>0</wp14:pctWidth>
            </wp14:sizeRelH>
            <wp14:sizeRelV relativeFrom="margin">
              <wp14:pctHeight>0</wp14:pctHeight>
            </wp14:sizeRelV>
          </wp:anchor>
        </w:drawing>
      </w:r>
    </w:p>
    <w:p w14:paraId="148A62CC" w14:textId="77777777" w:rsidR="00A52FF5" w:rsidRPr="004F7E55" w:rsidRDefault="00A52FF5" w:rsidP="00A52FF5">
      <w:pPr>
        <w:rPr>
          <w:iCs/>
          <w:color w:val="000000" w:themeColor="text1"/>
        </w:rPr>
      </w:pPr>
    </w:p>
    <w:p w14:paraId="1BFCEE6C" w14:textId="77777777" w:rsidR="00A52FF5" w:rsidRDefault="00A52FF5" w:rsidP="00A52FF5">
      <w:pPr>
        <w:rPr>
          <w:i/>
          <w:color w:val="FF0000"/>
        </w:rPr>
      </w:pPr>
    </w:p>
    <w:p w14:paraId="5153758F" w14:textId="77777777" w:rsidR="00A52FF5" w:rsidRDefault="00A52FF5" w:rsidP="00A52FF5">
      <w:pPr>
        <w:rPr>
          <w:i/>
          <w:color w:val="FF0000"/>
        </w:rPr>
      </w:pPr>
    </w:p>
    <w:p w14:paraId="09D1BE01" w14:textId="77777777" w:rsidR="00A52FF5" w:rsidRDefault="00A52FF5" w:rsidP="00A52FF5">
      <w:pPr>
        <w:rPr>
          <w:i/>
          <w:color w:val="FF0000"/>
        </w:rPr>
      </w:pPr>
    </w:p>
    <w:p w14:paraId="4E72D1AD" w14:textId="77777777" w:rsidR="00A52FF5" w:rsidRDefault="00A52FF5" w:rsidP="00A52FF5">
      <w:pPr>
        <w:rPr>
          <w:i/>
          <w:color w:val="FF0000"/>
        </w:rPr>
      </w:pPr>
    </w:p>
    <w:p w14:paraId="25E2C539" w14:textId="77777777" w:rsidR="00A52FF5" w:rsidRDefault="00A52FF5" w:rsidP="00A52FF5">
      <w:pPr>
        <w:rPr>
          <w:i/>
          <w:color w:val="FF0000"/>
        </w:rPr>
      </w:pPr>
    </w:p>
    <w:p w14:paraId="07B4DA5A" w14:textId="77777777" w:rsidR="00A52FF5" w:rsidRDefault="00A52FF5" w:rsidP="00A52FF5">
      <w:pPr>
        <w:rPr>
          <w:i/>
          <w:color w:val="FF0000"/>
        </w:rPr>
      </w:pPr>
    </w:p>
    <w:p w14:paraId="40295C7A" w14:textId="77777777" w:rsidR="00A52FF5" w:rsidRDefault="00A52FF5" w:rsidP="00A52FF5">
      <w:pPr>
        <w:rPr>
          <w:i/>
          <w:color w:val="FF0000"/>
        </w:rPr>
      </w:pPr>
    </w:p>
    <w:p w14:paraId="0DCD8D7D" w14:textId="77777777" w:rsidR="00A52FF5" w:rsidRDefault="00A52FF5" w:rsidP="00A52FF5">
      <w:pPr>
        <w:rPr>
          <w:i/>
          <w:color w:val="FF0000"/>
        </w:rPr>
      </w:pPr>
    </w:p>
    <w:p w14:paraId="21B9ADBC" w14:textId="77777777" w:rsidR="00A52FF5" w:rsidRDefault="00A52FF5" w:rsidP="00A52FF5">
      <w:pPr>
        <w:rPr>
          <w:i/>
          <w:color w:val="FF0000"/>
        </w:rPr>
      </w:pPr>
    </w:p>
    <w:p w14:paraId="6B4AB70C" w14:textId="77777777" w:rsidR="00A52FF5" w:rsidRDefault="00A52FF5" w:rsidP="00A52FF5">
      <w:pPr>
        <w:rPr>
          <w:i/>
          <w:color w:val="FF0000"/>
        </w:rPr>
      </w:pPr>
    </w:p>
    <w:p w14:paraId="2C5D3894" w14:textId="77777777" w:rsidR="00A52FF5" w:rsidRDefault="00A52FF5" w:rsidP="00A52FF5">
      <w:pPr>
        <w:rPr>
          <w:i/>
          <w:color w:val="FF0000"/>
        </w:rPr>
      </w:pPr>
    </w:p>
    <w:p w14:paraId="0F504AEE" w14:textId="77777777" w:rsidR="00A52FF5" w:rsidRDefault="00A52FF5" w:rsidP="00A52FF5">
      <w:pPr>
        <w:rPr>
          <w:i/>
          <w:color w:val="FF0000"/>
        </w:rPr>
      </w:pPr>
    </w:p>
    <w:p w14:paraId="165732AD" w14:textId="77777777" w:rsidR="00A52FF5" w:rsidRDefault="00A52FF5" w:rsidP="00A52FF5">
      <w:pPr>
        <w:rPr>
          <w:i/>
          <w:color w:val="FF0000"/>
        </w:rPr>
      </w:pPr>
    </w:p>
    <w:p w14:paraId="2A3FE2C0" w14:textId="77777777" w:rsidR="00A52FF5" w:rsidRDefault="00A52FF5" w:rsidP="00A52FF5">
      <w:pPr>
        <w:rPr>
          <w:iCs/>
          <w:color w:val="000000" w:themeColor="text1"/>
        </w:rPr>
      </w:pPr>
      <w:r>
        <w:rPr>
          <w:iCs/>
          <w:color w:val="000000" w:themeColor="text1"/>
        </w:rPr>
        <w:t xml:space="preserve">.. </w:t>
      </w:r>
    </w:p>
    <w:p w14:paraId="6FEAB9A9" w14:textId="77777777" w:rsidR="00A52FF5" w:rsidRDefault="00A52FF5" w:rsidP="00A52FF5">
      <w:pPr>
        <w:rPr>
          <w:iCs/>
          <w:color w:val="000000" w:themeColor="text1"/>
        </w:rPr>
      </w:pPr>
    </w:p>
    <w:p w14:paraId="1AE18767" w14:textId="77777777" w:rsidR="00A52FF5" w:rsidRDefault="00A52FF5" w:rsidP="00A52FF5">
      <w:pPr>
        <w:rPr>
          <w:iCs/>
          <w:color w:val="000000" w:themeColor="text1"/>
        </w:rPr>
      </w:pPr>
    </w:p>
    <w:p w14:paraId="59142966" w14:textId="77777777" w:rsidR="00A52FF5" w:rsidRDefault="00A52FF5" w:rsidP="00A52FF5">
      <w:pPr>
        <w:rPr>
          <w:iCs/>
          <w:color w:val="000000" w:themeColor="text1"/>
        </w:rPr>
      </w:pPr>
    </w:p>
    <w:p w14:paraId="1536D787" w14:textId="77777777" w:rsidR="005F0DA0" w:rsidRDefault="005F0DA0" w:rsidP="00A52FF5">
      <w:pPr>
        <w:rPr>
          <w:iCs/>
          <w:color w:val="000000" w:themeColor="text1"/>
        </w:rPr>
      </w:pPr>
    </w:p>
    <w:p w14:paraId="72A924AD" w14:textId="77777777" w:rsidR="005F0DA0" w:rsidRDefault="005F0DA0" w:rsidP="00A52FF5">
      <w:pPr>
        <w:rPr>
          <w:iCs/>
          <w:color w:val="000000" w:themeColor="text1"/>
        </w:rPr>
      </w:pPr>
    </w:p>
    <w:p w14:paraId="7985AC34" w14:textId="77777777" w:rsidR="005F0DA0" w:rsidRDefault="005F0DA0" w:rsidP="00A52FF5">
      <w:pPr>
        <w:rPr>
          <w:iCs/>
          <w:color w:val="000000" w:themeColor="text1"/>
        </w:rPr>
      </w:pPr>
    </w:p>
    <w:p w14:paraId="7585039F" w14:textId="61B1B550" w:rsidR="00A52FF5" w:rsidRDefault="00A52FF5" w:rsidP="00A52FF5">
      <w:pPr>
        <w:rPr>
          <w:iCs/>
          <w:color w:val="000000" w:themeColor="text1"/>
        </w:rPr>
      </w:pPr>
      <w:r>
        <w:rPr>
          <w:iCs/>
          <w:color w:val="000000" w:themeColor="text1"/>
        </w:rPr>
        <w:t>Vanuit deze strategie zijn verschillende bouwstenen bedacht voor acties die naar behoefte ingezet worden. De bouwstenen zijn geordend volgens drie programmalijnen, te weten:</w:t>
      </w:r>
    </w:p>
    <w:p w14:paraId="0AE8D53D" w14:textId="77777777" w:rsidR="00A52FF5" w:rsidRPr="00E137A7" w:rsidRDefault="00A52FF5" w:rsidP="00FD669A">
      <w:pPr>
        <w:pStyle w:val="Lijstalinea"/>
        <w:numPr>
          <w:ilvl w:val="0"/>
          <w:numId w:val="6"/>
        </w:numPr>
        <w:rPr>
          <w:iCs/>
          <w:color w:val="000000" w:themeColor="text1"/>
        </w:rPr>
      </w:pPr>
      <w:r w:rsidRPr="00E137A7">
        <w:rPr>
          <w:iCs/>
          <w:color w:val="000000" w:themeColor="text1"/>
        </w:rPr>
        <w:t xml:space="preserve">projecten in de schijnwerper; </w:t>
      </w:r>
    </w:p>
    <w:p w14:paraId="21493CFC" w14:textId="26C86F64" w:rsidR="00A52FF5" w:rsidRPr="00E137A7" w:rsidRDefault="00A52FF5" w:rsidP="00FD669A">
      <w:pPr>
        <w:pStyle w:val="Lijstalinea"/>
        <w:numPr>
          <w:ilvl w:val="0"/>
          <w:numId w:val="6"/>
        </w:numPr>
        <w:rPr>
          <w:iCs/>
          <w:color w:val="000000" w:themeColor="text1"/>
        </w:rPr>
      </w:pPr>
      <w:r w:rsidRPr="00E137A7">
        <w:rPr>
          <w:iCs/>
          <w:color w:val="000000" w:themeColor="text1"/>
        </w:rPr>
        <w:t xml:space="preserve">aansluiten bij maatschappelijke onderwerpen die leven; en </w:t>
      </w:r>
    </w:p>
    <w:p w14:paraId="11B54F64" w14:textId="77777777" w:rsidR="00A52FF5" w:rsidRPr="00E137A7" w:rsidRDefault="00A52FF5" w:rsidP="00FD669A">
      <w:pPr>
        <w:pStyle w:val="Lijstalinea"/>
        <w:numPr>
          <w:ilvl w:val="0"/>
          <w:numId w:val="6"/>
        </w:numPr>
        <w:rPr>
          <w:iCs/>
          <w:color w:val="000000" w:themeColor="text1"/>
        </w:rPr>
      </w:pPr>
      <w:r w:rsidRPr="00E137A7">
        <w:rPr>
          <w:iCs/>
          <w:color w:val="000000" w:themeColor="text1"/>
        </w:rPr>
        <w:t xml:space="preserve">schakelpunt zijn voor hulpbronnen. </w:t>
      </w:r>
    </w:p>
    <w:p w14:paraId="73B35983" w14:textId="77777777" w:rsidR="00A52FF5" w:rsidRDefault="00A52FF5" w:rsidP="00A52FF5">
      <w:pPr>
        <w:rPr>
          <w:iCs/>
          <w:color w:val="000000" w:themeColor="text1"/>
        </w:rPr>
      </w:pPr>
    </w:p>
    <w:p w14:paraId="427DDA8B" w14:textId="77777777" w:rsidR="00A52FF5" w:rsidRDefault="00A52FF5" w:rsidP="00A52FF5">
      <w:pPr>
        <w:rPr>
          <w:iCs/>
          <w:color w:val="000000" w:themeColor="text1"/>
        </w:rPr>
      </w:pPr>
      <w:r>
        <w:rPr>
          <w:iCs/>
          <w:color w:val="000000" w:themeColor="text1"/>
        </w:rPr>
        <w:t>Onderdeel van het programmaplan is een uitvoeringsplan waarin 38 concrete acties zijn benoemd. Bij het uitvoeringsplan hoort een planning en een begroting.</w:t>
      </w:r>
    </w:p>
    <w:p w14:paraId="7135EC52" w14:textId="77777777" w:rsidR="00A52FF5" w:rsidRDefault="00A52FF5" w:rsidP="00A52FF5">
      <w:pPr>
        <w:rPr>
          <w:iCs/>
          <w:color w:val="000000" w:themeColor="text1"/>
        </w:rPr>
      </w:pPr>
    </w:p>
    <w:p w14:paraId="3CB80039" w14:textId="77777777" w:rsidR="00A52FF5" w:rsidRPr="0042229B" w:rsidRDefault="00A52FF5" w:rsidP="00A52FF5">
      <w:pPr>
        <w:rPr>
          <w:b/>
          <w:bCs/>
          <w:iCs/>
          <w:color w:val="000000" w:themeColor="text1"/>
        </w:rPr>
      </w:pPr>
      <w:r w:rsidRPr="0042229B">
        <w:rPr>
          <w:b/>
          <w:bCs/>
          <w:iCs/>
          <w:color w:val="000000" w:themeColor="text1"/>
        </w:rPr>
        <w:t>Looptijd en evaluatie</w:t>
      </w:r>
    </w:p>
    <w:p w14:paraId="79ED5D0D" w14:textId="5F544C3C" w:rsidR="00A52FF5" w:rsidRPr="0042229B" w:rsidRDefault="00A52FF5" w:rsidP="00A52FF5">
      <w:pPr>
        <w:rPr>
          <w:iCs/>
          <w:color w:val="000000" w:themeColor="text1"/>
        </w:rPr>
      </w:pPr>
      <w:r>
        <w:rPr>
          <w:iCs/>
          <w:color w:val="000000" w:themeColor="text1"/>
        </w:rPr>
        <w:t>Het beschikbare budget voor f</w:t>
      </w:r>
      <w:r w:rsidR="00577483">
        <w:rPr>
          <w:iCs/>
          <w:color w:val="000000" w:themeColor="text1"/>
        </w:rPr>
        <w:t>l</w:t>
      </w:r>
      <w:r>
        <w:rPr>
          <w:iCs/>
          <w:color w:val="000000" w:themeColor="text1"/>
        </w:rPr>
        <w:t>exwonen bestaat uit incidentele gelden die grotendeels door het Rijk beschikbaar zijn gesteld om flexwonen te bevorderen</w:t>
      </w:r>
      <w:r w:rsidRPr="00DE118B">
        <w:rPr>
          <w:iCs/>
          <w:color w:val="000000" w:themeColor="text1"/>
        </w:rPr>
        <w:t>.</w:t>
      </w:r>
      <w:r w:rsidR="00DE118B" w:rsidRPr="00DE118B">
        <w:rPr>
          <w:color w:val="000000" w:themeColor="text1"/>
        </w:rPr>
        <w:t xml:space="preserve"> De eigen formatieve lasten en de inzet van de </w:t>
      </w:r>
      <w:r w:rsidR="00577483">
        <w:rPr>
          <w:color w:val="000000" w:themeColor="text1"/>
        </w:rPr>
        <w:t>V</w:t>
      </w:r>
      <w:r w:rsidR="00DE118B" w:rsidRPr="00DE118B">
        <w:rPr>
          <w:color w:val="000000" w:themeColor="text1"/>
        </w:rPr>
        <w:t xml:space="preserve">liegende </w:t>
      </w:r>
      <w:r w:rsidR="00577483">
        <w:rPr>
          <w:color w:val="000000" w:themeColor="text1"/>
        </w:rPr>
        <w:t>B</w:t>
      </w:r>
      <w:r w:rsidR="00DE118B" w:rsidRPr="00DE118B">
        <w:rPr>
          <w:color w:val="000000" w:themeColor="text1"/>
        </w:rPr>
        <w:t xml:space="preserve">rigade ten behoeve van </w:t>
      </w:r>
      <w:r w:rsidR="00577483">
        <w:rPr>
          <w:color w:val="000000" w:themeColor="text1"/>
        </w:rPr>
        <w:t xml:space="preserve">projecten op het gebied van </w:t>
      </w:r>
      <w:r w:rsidR="00DE118B" w:rsidRPr="00DE118B">
        <w:rPr>
          <w:color w:val="000000" w:themeColor="text1"/>
        </w:rPr>
        <w:t>flexwo</w:t>
      </w:r>
      <w:r w:rsidR="00577483">
        <w:rPr>
          <w:color w:val="000000" w:themeColor="text1"/>
        </w:rPr>
        <w:t>nen</w:t>
      </w:r>
      <w:r w:rsidR="00DE118B" w:rsidRPr="00DE118B">
        <w:rPr>
          <w:color w:val="000000" w:themeColor="text1"/>
        </w:rPr>
        <w:t xml:space="preserve"> vallen buiten dit budget. </w:t>
      </w:r>
      <w:r w:rsidR="00DE118B" w:rsidRPr="00DE118B">
        <w:rPr>
          <w:iCs/>
          <w:color w:val="000000" w:themeColor="text1"/>
        </w:rPr>
        <w:t xml:space="preserve">Met de incidentele gelden die nog ter beschikking staan kunnen de in het uitvoeringsplan voorgestelde activiteiten in de jaren 2021 en 2022 worden uitgevoerd. De helft van het budget zetten we in als subsidies aan gemeenten om de realisatie van concrete </w:t>
      </w:r>
      <w:r w:rsidR="00577483">
        <w:rPr>
          <w:iCs/>
          <w:color w:val="000000" w:themeColor="text1"/>
        </w:rPr>
        <w:t xml:space="preserve">projecten op het gebied van </w:t>
      </w:r>
      <w:r w:rsidR="00DE118B" w:rsidRPr="00DE118B">
        <w:rPr>
          <w:iCs/>
          <w:color w:val="000000" w:themeColor="text1"/>
        </w:rPr>
        <w:t>flex</w:t>
      </w:r>
      <w:r w:rsidR="00577483">
        <w:rPr>
          <w:iCs/>
          <w:color w:val="000000" w:themeColor="text1"/>
        </w:rPr>
        <w:t>wonen</w:t>
      </w:r>
      <w:r w:rsidR="00DE118B" w:rsidRPr="00DE118B">
        <w:rPr>
          <w:iCs/>
          <w:color w:val="000000" w:themeColor="text1"/>
        </w:rPr>
        <w:t xml:space="preserve"> te bevorderen. Het andere deel wordt ingezet voor onder</w:t>
      </w:r>
      <w:r w:rsidR="00577483">
        <w:rPr>
          <w:iCs/>
          <w:color w:val="000000" w:themeColor="text1"/>
        </w:rPr>
        <w:t xml:space="preserve"> </w:t>
      </w:r>
      <w:r w:rsidR="00DE118B" w:rsidRPr="00DE118B">
        <w:rPr>
          <w:iCs/>
          <w:color w:val="000000" w:themeColor="text1"/>
        </w:rPr>
        <w:t>meer publicaties, communicatie en de inzet van kennisinstituten.</w:t>
      </w:r>
      <w:r w:rsidR="00577483">
        <w:rPr>
          <w:iCs/>
          <w:color w:val="000000" w:themeColor="text1"/>
        </w:rPr>
        <w:t xml:space="preserve"> Aan</w:t>
      </w:r>
      <w:r w:rsidR="00DE118B" w:rsidRPr="00DE118B">
        <w:rPr>
          <w:iCs/>
          <w:color w:val="000000" w:themeColor="text1"/>
        </w:rPr>
        <w:t xml:space="preserve"> deze instituten </w:t>
      </w:r>
      <w:r w:rsidR="00577483">
        <w:rPr>
          <w:iCs/>
          <w:color w:val="000000" w:themeColor="text1"/>
        </w:rPr>
        <w:t xml:space="preserve">wordt </w:t>
      </w:r>
      <w:r w:rsidR="00DE118B" w:rsidRPr="00DE118B">
        <w:rPr>
          <w:iCs/>
          <w:color w:val="000000" w:themeColor="text1"/>
        </w:rPr>
        <w:t xml:space="preserve">ondersteuning gevraagd bij masterclasses, expertmeetings, een leerkring en een </w:t>
      </w:r>
      <w:r w:rsidR="00DE118B" w:rsidRPr="00DE118B">
        <w:rPr>
          <w:iCs/>
          <w:color w:val="000000" w:themeColor="text1"/>
        </w:rPr>
        <w:lastRenderedPageBreak/>
        <w:t>haalbaarheidsonderzoek naar van bovenlokale ‘pool’ van tijdelijk beschikbare locaties en/of verplaatsbare eenheden. Voor de jaren 2023 en 2024 dient aanvullend</w:t>
      </w:r>
      <w:r w:rsidR="00577483">
        <w:rPr>
          <w:iCs/>
          <w:color w:val="000000" w:themeColor="text1"/>
        </w:rPr>
        <w:t>e</w:t>
      </w:r>
      <w:r w:rsidR="00DE118B" w:rsidRPr="00DE118B">
        <w:rPr>
          <w:iCs/>
          <w:color w:val="000000" w:themeColor="text1"/>
        </w:rPr>
        <w:t xml:space="preserve"> financiële dekking te worden gevonden. Voorgesteld wordt om in 2022, halverwege de looptijd van het programma</w:t>
      </w:r>
      <w:r w:rsidR="00577483">
        <w:rPr>
          <w:iCs/>
          <w:color w:val="000000" w:themeColor="text1"/>
        </w:rPr>
        <w:t>,</w:t>
      </w:r>
      <w:r w:rsidR="00DE118B" w:rsidRPr="00DE118B">
        <w:rPr>
          <w:iCs/>
          <w:color w:val="000000" w:themeColor="text1"/>
        </w:rPr>
        <w:t xml:space="preserve"> een tussentijdse bestuurlijke evaluatie te houden over de inhoudelijke voortgang en de financiering van het programma flexwonen. De financiële consequenties zullen in de begroting voor 2023 een plaats krijgen.</w:t>
      </w:r>
      <w:r>
        <w:rPr>
          <w:iCs/>
          <w:color w:val="000000" w:themeColor="text1"/>
        </w:rPr>
        <w:t xml:space="preserve"> Wij zullen u hierover en over andere tussentijdse ontwikkelingen nader informeren.</w:t>
      </w:r>
    </w:p>
    <w:p w14:paraId="2217AD77" w14:textId="77777777" w:rsidR="00A52FF5" w:rsidRDefault="00A52FF5" w:rsidP="00A52FF5">
      <w:pPr>
        <w:rPr>
          <w:i/>
          <w:color w:val="FF0000"/>
        </w:rPr>
      </w:pPr>
    </w:p>
    <w:p w14:paraId="5505F912" w14:textId="77777777" w:rsidR="005D159C" w:rsidRDefault="005D159C" w:rsidP="001D3BC7"/>
    <w:p w14:paraId="61310B0B" w14:textId="77777777" w:rsidR="00B4647C" w:rsidRDefault="00FD669A" w:rsidP="001D3BC7">
      <w:r w:rsidRPr="001C4F2C">
        <w:t>Hoogachtend,</w:t>
      </w:r>
    </w:p>
    <w:p w14:paraId="3181873A" w14:textId="77777777" w:rsidR="007A4675" w:rsidRPr="001C4F2C" w:rsidRDefault="007A4675" w:rsidP="00140093">
      <w:pPr>
        <w:keepNext/>
        <w:keepLines/>
      </w:pPr>
    </w:p>
    <w:p w14:paraId="512D9AEE" w14:textId="77777777" w:rsidR="007A4675" w:rsidRPr="001C4F2C" w:rsidRDefault="00FD669A" w:rsidP="00140093">
      <w:pPr>
        <w:keepNext/>
        <w:keepLines/>
      </w:pPr>
      <w:r w:rsidRPr="001C4F2C">
        <w:t>Gedeputeerde Staten van Zuid-Holland,</w:t>
      </w:r>
    </w:p>
    <w:tbl>
      <w:tblPr>
        <w:tblStyle w:val="Tabelraster"/>
        <w:tblW w:w="6660" w:type="dxa"/>
        <w:tblLayout w:type="fixed"/>
        <w:tblLook w:val="01E0" w:firstRow="1" w:lastRow="1" w:firstColumn="1" w:lastColumn="1" w:noHBand="0" w:noVBand="0"/>
      </w:tblPr>
      <w:tblGrid>
        <w:gridCol w:w="3330"/>
        <w:gridCol w:w="3330"/>
      </w:tblGrid>
      <w:tr w:rsidR="001935CF" w14:paraId="61332EBC" w14:textId="77777777" w:rsidTr="00140093">
        <w:tc>
          <w:tcPr>
            <w:tcW w:w="3330" w:type="dxa"/>
          </w:tcPr>
          <w:p w14:paraId="5D9D74A6" w14:textId="77777777" w:rsidR="007A4675" w:rsidRPr="001C4F2C" w:rsidRDefault="00FD669A" w:rsidP="00140093">
            <w:pPr>
              <w:keepNext/>
              <w:keepLines/>
            </w:pPr>
            <w:r>
              <w:t>s</w:t>
            </w:r>
            <w:r w:rsidRPr="001C4F2C">
              <w:t>ecretaris</w:t>
            </w:r>
            <w:r>
              <w:t>,</w:t>
            </w:r>
          </w:p>
        </w:tc>
        <w:tc>
          <w:tcPr>
            <w:tcW w:w="3330" w:type="dxa"/>
          </w:tcPr>
          <w:p w14:paraId="7C90FC7C" w14:textId="77777777" w:rsidR="007A4675" w:rsidRPr="001C4F2C" w:rsidRDefault="00FD669A" w:rsidP="00140093">
            <w:pPr>
              <w:keepNext/>
              <w:keepLines/>
            </w:pPr>
            <w:r w:rsidRPr="001C4F2C">
              <w:t>voorzitter,</w:t>
            </w:r>
          </w:p>
        </w:tc>
      </w:tr>
      <w:tr w:rsidR="001935CF" w14:paraId="2E277FA8" w14:textId="77777777" w:rsidTr="00140093">
        <w:tc>
          <w:tcPr>
            <w:tcW w:w="3330" w:type="dxa"/>
          </w:tcPr>
          <w:p w14:paraId="0394CEB9" w14:textId="77777777" w:rsidR="007A4675" w:rsidRDefault="007A4675" w:rsidP="00140093">
            <w:pPr>
              <w:keepNext/>
              <w:keepLines/>
            </w:pPr>
          </w:p>
          <w:p w14:paraId="7ECB3C4F" w14:textId="77777777" w:rsidR="007A4675" w:rsidRDefault="007A4675" w:rsidP="00140093">
            <w:pPr>
              <w:keepNext/>
              <w:keepLines/>
            </w:pPr>
          </w:p>
          <w:p w14:paraId="55D5B03D" w14:textId="77777777" w:rsidR="007A4675" w:rsidRPr="001C4F2C" w:rsidRDefault="007A4675" w:rsidP="00140093">
            <w:pPr>
              <w:keepNext/>
              <w:keepLines/>
            </w:pPr>
          </w:p>
        </w:tc>
        <w:tc>
          <w:tcPr>
            <w:tcW w:w="3330" w:type="dxa"/>
          </w:tcPr>
          <w:p w14:paraId="01D6F2A6" w14:textId="77777777" w:rsidR="007A4675" w:rsidRPr="001C4F2C" w:rsidRDefault="007A4675" w:rsidP="00140093">
            <w:pPr>
              <w:keepNext/>
              <w:keepLines/>
            </w:pPr>
          </w:p>
        </w:tc>
      </w:tr>
      <w:tr w:rsidR="001935CF" w14:paraId="78F53DDF" w14:textId="77777777" w:rsidTr="00140093">
        <w:tc>
          <w:tcPr>
            <w:tcW w:w="3330" w:type="dxa"/>
          </w:tcPr>
          <w:p w14:paraId="3C591019" w14:textId="77777777" w:rsidR="007A4675" w:rsidRPr="00A52FF5" w:rsidRDefault="00FD669A" w:rsidP="00140093">
            <w:pPr>
              <w:keepNext/>
              <w:keepLines/>
            </w:pPr>
            <w:r w:rsidRPr="00A52FF5">
              <w:t>drs. H.M.M. Koek</w:t>
            </w:r>
          </w:p>
        </w:tc>
        <w:tc>
          <w:tcPr>
            <w:tcW w:w="3330" w:type="dxa"/>
          </w:tcPr>
          <w:p w14:paraId="3FCB652D" w14:textId="77777777" w:rsidR="007A4675" w:rsidRPr="001C4F2C" w:rsidRDefault="00FD669A" w:rsidP="00140093">
            <w:pPr>
              <w:keepNext/>
              <w:keepLines/>
            </w:pPr>
            <w:r>
              <w:t xml:space="preserve">drs. </w:t>
            </w:r>
            <w:r w:rsidRPr="001C4F2C">
              <w:t xml:space="preserve">J. </w:t>
            </w:r>
            <w:r>
              <w:t>Smit</w:t>
            </w:r>
          </w:p>
        </w:tc>
      </w:tr>
    </w:tbl>
    <w:p w14:paraId="73537BA2" w14:textId="77777777" w:rsidR="007A4675" w:rsidRPr="001C4F2C" w:rsidRDefault="00FD669A" w:rsidP="00140093">
      <w:r w:rsidRPr="001C4F2C">
        <w:t xml:space="preserve"> </w:t>
      </w:r>
      <w:r>
        <w:t xml:space="preserve"> </w:t>
      </w:r>
    </w:p>
    <w:p w14:paraId="64BAFE25" w14:textId="77777777" w:rsidR="00ED1E4E" w:rsidRPr="00DC5D07" w:rsidRDefault="003C1337" w:rsidP="002A5DB4">
      <w:r>
        <w:rPr>
          <w:noProof/>
        </w:rPr>
        <w:pict w14:anchorId="74B4BADD">
          <v:rect id="Rechthoek 148" o:spid="_x0000_s1026" style="position:absolute;margin-left:0;margin-top:0;width:450.7pt;height:385.5pt;z-index:251658240;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top" o:allowoverlap="f" filled="f" stroked="f" strokeweight="2pt">
            <v:textbox style="mso-fit-shape-to-text:t" inset="0,0,0,0">
              <w:txbxContent>
                <w:tbl>
                  <w:tblPr>
                    <w:tblStyle w:val="Tabelraster"/>
                    <w:tblW w:w="0" w:type="auto"/>
                    <w:tblLook w:val="01E0" w:firstRow="1" w:lastRow="1" w:firstColumn="1" w:lastColumn="1" w:noHBand="0" w:noVBand="0"/>
                  </w:tblPr>
                  <w:tblGrid>
                    <w:gridCol w:w="9027"/>
                  </w:tblGrid>
                  <w:tr w:rsidR="00842AC7" w14:paraId="5CF05ED0" w14:textId="77777777" w:rsidTr="00D17FC0">
                    <w:tc>
                      <w:tcPr>
                        <w:tcW w:w="9027" w:type="dxa"/>
                      </w:tcPr>
                      <w:p w14:paraId="5C7151EE" w14:textId="77777777" w:rsidR="00842AC7" w:rsidRPr="002A5DB4" w:rsidRDefault="00842AC7" w:rsidP="00617467">
                        <w:pPr>
                          <w:rPr>
                            <w:sz w:val="16"/>
                            <w:szCs w:val="16"/>
                          </w:rPr>
                        </w:pPr>
                        <w:r w:rsidRPr="002A5DB4">
                          <w:rPr>
                            <w:sz w:val="16"/>
                            <w:szCs w:val="16"/>
                          </w:rPr>
                          <w:t>Bijlagen:</w:t>
                        </w:r>
                      </w:p>
                      <w:p w14:paraId="0260F700" w14:textId="77777777" w:rsidR="00842AC7" w:rsidRPr="00D67809" w:rsidRDefault="00842AC7" w:rsidP="00617467">
                        <w:r w:rsidRPr="00D67809">
                          <w:t xml:space="preserve">- </w:t>
                        </w:r>
                        <w:r>
                          <w:t>Programmaplan Flexwonen 2021-2024</w:t>
                        </w:r>
                      </w:p>
                    </w:tc>
                  </w:tr>
                </w:tbl>
                <w:p w14:paraId="0C724B07" w14:textId="77777777" w:rsidR="00842AC7" w:rsidRDefault="00842AC7" w:rsidP="00617467">
                  <w:pPr>
                    <w:rPr>
                      <w:color w:val="4472C4" w:themeColor="accent1"/>
                    </w:rPr>
                  </w:pPr>
                </w:p>
              </w:txbxContent>
            </v:textbox>
            <w10:wrap type="topAndBottom" anchorx="margin" anchory="margin"/>
          </v:rect>
        </w:pict>
      </w:r>
    </w:p>
    <w:sectPr w:rsidR="00ED1E4E" w:rsidRPr="00DC5D07" w:rsidSect="00246BC4">
      <w:headerReference w:type="default" r:id="rId8"/>
      <w:footerReference w:type="default" r:id="rId9"/>
      <w:headerReference w:type="first" r:id="rId10"/>
      <w:pgSz w:w="11906" w:h="16838" w:code="9"/>
      <w:pgMar w:top="2410" w:right="1418" w:bottom="1418" w:left="2268"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6A030" w14:textId="77777777" w:rsidR="003C1337" w:rsidRDefault="003C1337">
      <w:pPr>
        <w:spacing w:line="240" w:lineRule="auto"/>
      </w:pPr>
      <w:r>
        <w:separator/>
      </w:r>
    </w:p>
  </w:endnote>
  <w:endnote w:type="continuationSeparator" w:id="0">
    <w:p w14:paraId="7057464B" w14:textId="77777777" w:rsidR="003C1337" w:rsidRDefault="003C13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419" w:tblpY="16161"/>
      <w:tblOverlap w:val="never"/>
      <w:tblW w:w="567" w:type="dxa"/>
      <w:tblLayout w:type="fixed"/>
      <w:tblCellMar>
        <w:left w:w="0" w:type="dxa"/>
        <w:right w:w="0" w:type="dxa"/>
      </w:tblCellMar>
      <w:tblLook w:val="01E0" w:firstRow="1" w:lastRow="1" w:firstColumn="1" w:lastColumn="1" w:noHBand="0" w:noVBand="0"/>
    </w:tblPr>
    <w:tblGrid>
      <w:gridCol w:w="567"/>
    </w:tblGrid>
    <w:tr w:rsidR="00842AC7" w14:paraId="218A6ECB" w14:textId="77777777" w:rsidTr="00AF124C">
      <w:trPr>
        <w:trHeight w:hRule="exact" w:val="284"/>
      </w:trPr>
      <w:tc>
        <w:tcPr>
          <w:tcW w:w="8360" w:type="dxa"/>
          <w:shd w:val="clear" w:color="auto" w:fill="auto"/>
          <w:vAlign w:val="bottom"/>
        </w:tcPr>
        <w:p w14:paraId="2668E79E" w14:textId="53E234ED" w:rsidR="00842AC7" w:rsidRPr="00DE7362" w:rsidRDefault="00842AC7" w:rsidP="00AF124C">
          <w:pPr>
            <w:jc w:val="right"/>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r>
            <w:rPr>
              <w:rStyle w:val="Paginanummer"/>
            </w:rPr>
            <w:t>/</w:t>
          </w:r>
          <w:r>
            <w:rPr>
              <w:rStyle w:val="Paginanummer"/>
            </w:rPr>
            <w:fldChar w:fldCharType="begin"/>
          </w:r>
          <w:r>
            <w:rPr>
              <w:rStyle w:val="Paginanummer"/>
            </w:rPr>
            <w:instrText xml:space="preserve"> SECTIONPAGES   \* MERGEFORMAT </w:instrText>
          </w:r>
          <w:r>
            <w:rPr>
              <w:rStyle w:val="Paginanummer"/>
            </w:rPr>
            <w:fldChar w:fldCharType="separate"/>
          </w:r>
          <w:r w:rsidR="00AF41A4">
            <w:rPr>
              <w:rStyle w:val="Paginanummer"/>
              <w:noProof/>
            </w:rPr>
            <w:t>5</w:t>
          </w:r>
          <w:r>
            <w:rPr>
              <w:rStyle w:val="Paginanummer"/>
            </w:rPr>
            <w:fldChar w:fldCharType="end"/>
          </w:r>
        </w:p>
      </w:tc>
    </w:tr>
  </w:tbl>
  <w:p w14:paraId="56C925C8" w14:textId="77777777" w:rsidR="00842AC7" w:rsidRDefault="00842A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3A8DF" w14:textId="77777777" w:rsidR="003C1337" w:rsidRDefault="003C1337">
      <w:pPr>
        <w:spacing w:line="240" w:lineRule="auto"/>
      </w:pPr>
      <w:r>
        <w:separator/>
      </w:r>
    </w:p>
  </w:footnote>
  <w:footnote w:type="continuationSeparator" w:id="0">
    <w:p w14:paraId="40B3CD49" w14:textId="77777777" w:rsidR="003C1337" w:rsidRDefault="003C13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2088"/>
    </w:tblGrid>
    <w:tr w:rsidR="00842AC7" w14:paraId="41ECC152" w14:textId="77777777">
      <w:trPr>
        <w:trHeight w:val="450"/>
      </w:trPr>
      <w:tc>
        <w:tcPr>
          <w:tcW w:w="2088" w:type="dxa"/>
        </w:tcPr>
        <w:p w14:paraId="7A7BD7DA" w14:textId="77777777" w:rsidR="00842AC7" w:rsidRPr="007D417C" w:rsidRDefault="00842AC7" w:rsidP="00F2240A">
          <w:pPr>
            <w:framePr w:hSpace="181" w:wrap="around" w:vAnchor="text" w:hAnchor="page" w:x="8319" w:y="171"/>
            <w:spacing w:line="227" w:lineRule="exact"/>
            <w:rPr>
              <w:sz w:val="14"/>
              <w:szCs w:val="14"/>
            </w:rPr>
          </w:pPr>
          <w:r w:rsidRPr="007D417C">
            <w:rPr>
              <w:sz w:val="14"/>
              <w:szCs w:val="14"/>
            </w:rPr>
            <w:t>Ons kenmerk</w:t>
          </w:r>
        </w:p>
        <w:p w14:paraId="7C14B83C" w14:textId="77777777" w:rsidR="00842AC7" w:rsidRPr="007D417C" w:rsidRDefault="00842AC7" w:rsidP="00847022">
          <w:pPr>
            <w:pStyle w:val="CReferentiegegevens"/>
            <w:framePr w:hSpace="181" w:wrap="around" w:vAnchor="text" w:hAnchor="page" w:x="8319" w:y="171"/>
            <w:rPr>
              <w:sz w:val="14"/>
              <w:szCs w:val="14"/>
            </w:rPr>
          </w:pPr>
          <w:r>
            <w:t>PZH-2021-773632702</w:t>
          </w:r>
          <w:r w:rsidRPr="007D417C">
            <w:rPr>
              <w:sz w:val="14"/>
              <w:szCs w:val="14"/>
            </w:rPr>
            <w:t xml:space="preserve"> </w:t>
          </w:r>
        </w:p>
      </w:tc>
    </w:tr>
  </w:tbl>
  <w:p w14:paraId="32C13371" w14:textId="77777777" w:rsidR="00842AC7" w:rsidRDefault="003C1337">
    <w:r>
      <w:rPr>
        <w:noProof/>
      </w:rPr>
      <w:pict w14:anchorId="3A4776DD">
        <v:rect id="Rectangle 58" o:spid="_x0000_s2049" style="position:absolute;margin-left:-113.5pt;margin-top:-36.95pt;width:62.35pt;height:843.1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fillcolor="#c90" stroked="f">
          <v:fill opacity="26214f"/>
        </v:rect>
      </w:pict>
    </w:r>
    <w:r>
      <w:rPr>
        <w:noProof/>
      </w:rPr>
      <w:pict w14:anchorId="62A7D8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62.35pt;margin-top:14.2pt;width:106.6pt;height:85.4pt;z-index:251660288;mso-position-horizontal-relative:page;mso-position-vertical-relative:page" o:allowincell="f">
          <v:imagedata r:id="rId1" o:title=""/>
          <w10:wrap anchorx="page" anchory="page"/>
          <w10:anchorlock/>
        </v:shape>
      </w:pict>
    </w:r>
  </w:p>
  <w:p w14:paraId="38DF48EC" w14:textId="77777777" w:rsidR="00842AC7" w:rsidRDefault="00842AC7"/>
  <w:p w14:paraId="68FD5B86" w14:textId="77777777" w:rsidR="00842AC7" w:rsidRDefault="00842AC7"/>
  <w:p w14:paraId="5AAD230E" w14:textId="77777777" w:rsidR="00842AC7" w:rsidRDefault="00842AC7"/>
  <w:p w14:paraId="3F26C832" w14:textId="77777777" w:rsidR="00842AC7" w:rsidRDefault="00842AC7"/>
  <w:p w14:paraId="4DDB0685" w14:textId="77777777" w:rsidR="00842AC7" w:rsidRDefault="00842A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94" w:type="dxa"/>
      <w:tblLayout w:type="fixed"/>
      <w:tblCellMar>
        <w:left w:w="0" w:type="dxa"/>
        <w:right w:w="0" w:type="dxa"/>
      </w:tblCellMar>
      <w:tblLook w:val="01E0" w:firstRow="1" w:lastRow="1" w:firstColumn="1" w:lastColumn="1" w:noHBand="0" w:noVBand="0"/>
    </w:tblPr>
    <w:tblGrid>
      <w:gridCol w:w="4397"/>
      <w:gridCol w:w="4397"/>
    </w:tblGrid>
    <w:tr w:rsidR="00842AC7" w14:paraId="333BCDFA" w14:textId="77777777" w:rsidTr="00246BC4">
      <w:trPr>
        <w:trHeight w:val="3118"/>
      </w:trPr>
      <w:tc>
        <w:tcPr>
          <w:tcW w:w="4820" w:type="dxa"/>
        </w:tcPr>
        <w:p w14:paraId="13B1B578" w14:textId="77777777" w:rsidR="00842AC7" w:rsidRDefault="003C1337" w:rsidP="00E63895">
          <w:pPr>
            <w:pStyle w:val="EKenmerkenkopjes"/>
            <w:rPr>
              <w:noProof/>
              <w:sz w:val="19"/>
              <w:szCs w:val="19"/>
            </w:rPr>
          </w:pPr>
          <w:r>
            <w:rPr>
              <w:sz w:val="19"/>
            </w:rPr>
            <w:pict w14:anchorId="5C3B9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77.05pt;margin-top:0;width:164.15pt;height:128.3pt;z-index:251661312;mso-position-vertical-relative:page">
                <v:imagedata r:id="rId1" o:title=""/>
                <w10:wrap anchory="page"/>
                <w10:anchorlock/>
              </v:shape>
            </w:pict>
          </w:r>
          <w:r w:rsidR="00842AC7">
            <w:rPr>
              <w:sz w:val="19"/>
            </w:rPr>
            <w:t xml:space="preserve"> </w:t>
          </w:r>
        </w:p>
      </w:tc>
      <w:tc>
        <w:tcPr>
          <w:tcW w:w="4820" w:type="dxa"/>
          <w:vMerge w:val="restart"/>
          <w:vAlign w:val="bottom"/>
        </w:tcPr>
        <w:tbl>
          <w:tblPr>
            <w:tblpPr w:leftFromText="142" w:rightFromText="142" w:vertAnchor="page" w:horzAnchor="page" w:tblpXSpec="right" w:tblpY="1"/>
            <w:tblW w:w="2835" w:type="dxa"/>
            <w:tblLayout w:type="fixed"/>
            <w:tblCellMar>
              <w:left w:w="0" w:type="dxa"/>
              <w:right w:w="0" w:type="dxa"/>
            </w:tblCellMar>
            <w:tblLook w:val="01E0" w:firstRow="1" w:lastRow="1" w:firstColumn="1" w:lastColumn="1" w:noHBand="0" w:noVBand="0"/>
          </w:tblPr>
          <w:tblGrid>
            <w:gridCol w:w="2835"/>
          </w:tblGrid>
          <w:tr w:rsidR="00842AC7" w14:paraId="36883D86" w14:textId="77777777" w:rsidTr="0094375C">
            <w:trPr>
              <w:trHeight w:val="284"/>
            </w:trPr>
            <w:tc>
              <w:tcPr>
                <w:tcW w:w="2835" w:type="dxa"/>
                <w:shd w:val="clear" w:color="auto" w:fill="auto"/>
              </w:tcPr>
              <w:p w14:paraId="238B6AAD" w14:textId="77777777" w:rsidR="00842AC7" w:rsidRPr="00AF124C" w:rsidRDefault="00842AC7" w:rsidP="0094375C">
                <w:pPr>
                  <w:rPr>
                    <w:b/>
                    <w:sz w:val="22"/>
                    <w:szCs w:val="22"/>
                  </w:rPr>
                </w:pPr>
                <w:r>
                  <w:rPr>
                    <w:b/>
                    <w:sz w:val="22"/>
                    <w:szCs w:val="22"/>
                  </w:rPr>
                  <w:t>GS brief aan Provinciale Staten</w:t>
                </w:r>
              </w:p>
            </w:tc>
          </w:tr>
          <w:tr w:rsidR="00842AC7" w14:paraId="40D3ED5A" w14:textId="77777777" w:rsidTr="0094375C">
            <w:trPr>
              <w:trHeight w:val="227"/>
            </w:trPr>
            <w:tc>
              <w:tcPr>
                <w:tcW w:w="2835" w:type="dxa"/>
                <w:shd w:val="clear" w:color="auto" w:fill="auto"/>
              </w:tcPr>
              <w:p w14:paraId="23AD0CE2" w14:textId="77777777" w:rsidR="00842AC7" w:rsidRPr="00054DE6" w:rsidRDefault="00842AC7" w:rsidP="0094375C">
                <w:pPr>
                  <w:pStyle w:val="CReferentiegegevens"/>
                </w:pPr>
              </w:p>
            </w:tc>
          </w:tr>
          <w:tr w:rsidR="00842AC7" w14:paraId="0D391C69" w14:textId="77777777" w:rsidTr="0094375C">
            <w:trPr>
              <w:trHeight w:val="227"/>
            </w:trPr>
            <w:tc>
              <w:tcPr>
                <w:tcW w:w="2835" w:type="dxa"/>
                <w:shd w:val="clear" w:color="auto" w:fill="auto"/>
              </w:tcPr>
              <w:p w14:paraId="1D4578D4" w14:textId="77777777" w:rsidR="00842AC7" w:rsidRPr="000F2E25" w:rsidRDefault="00842AC7" w:rsidP="0094375C">
                <w:pPr>
                  <w:pStyle w:val="BReferentietussenkopjes"/>
                </w:pPr>
                <w:r>
                  <w:t>Postadres Provinciehuis</w:t>
                </w:r>
              </w:p>
            </w:tc>
          </w:tr>
          <w:tr w:rsidR="00842AC7" w14:paraId="2E744FC7" w14:textId="77777777" w:rsidTr="0094375C">
            <w:tc>
              <w:tcPr>
                <w:tcW w:w="2835" w:type="dxa"/>
                <w:shd w:val="clear" w:color="auto" w:fill="auto"/>
              </w:tcPr>
              <w:p w14:paraId="63038EE1" w14:textId="77777777" w:rsidR="00842AC7" w:rsidRPr="00146AE2" w:rsidRDefault="00842AC7" w:rsidP="0094375C">
                <w:pPr>
                  <w:pStyle w:val="CReferentiegegevens"/>
                </w:pPr>
                <w:r w:rsidRPr="00146AE2">
                  <w:t>Postbus 90602</w:t>
                </w:r>
              </w:p>
              <w:p w14:paraId="1A8D4A6C" w14:textId="77777777" w:rsidR="00842AC7" w:rsidRPr="00146AE2" w:rsidRDefault="00842AC7" w:rsidP="0094375C">
                <w:pPr>
                  <w:pStyle w:val="CReferentiegegevens"/>
                </w:pPr>
                <w:r w:rsidRPr="00146AE2">
                  <w:t>2509 LP  Den Haag</w:t>
                </w:r>
              </w:p>
              <w:p w14:paraId="396CCE4D" w14:textId="77777777" w:rsidR="00842AC7" w:rsidRPr="00146AE2" w:rsidRDefault="00842AC7" w:rsidP="0094375C">
                <w:pPr>
                  <w:pStyle w:val="CReferentiegegevens"/>
                </w:pPr>
                <w:r w:rsidRPr="00146AE2">
                  <w:t>T 070 - 441 66 11</w:t>
                </w:r>
              </w:p>
              <w:p w14:paraId="1E333B3D" w14:textId="77777777" w:rsidR="00842AC7" w:rsidRPr="00146AE2" w:rsidRDefault="00842AC7" w:rsidP="0094375C">
                <w:pPr>
                  <w:pStyle w:val="CReferentiegegevens"/>
                </w:pPr>
                <w:r w:rsidRPr="00146AE2">
                  <w:t>www.zuid-holland.nl</w:t>
                </w:r>
              </w:p>
            </w:tc>
          </w:tr>
          <w:tr w:rsidR="00842AC7" w14:paraId="1771D085" w14:textId="77777777" w:rsidTr="0094375C">
            <w:trPr>
              <w:trHeight w:hRule="exact" w:val="227"/>
            </w:trPr>
            <w:tc>
              <w:tcPr>
                <w:tcW w:w="2835" w:type="dxa"/>
                <w:shd w:val="clear" w:color="auto" w:fill="auto"/>
              </w:tcPr>
              <w:p w14:paraId="3F255D1C" w14:textId="77777777" w:rsidR="00842AC7" w:rsidRPr="00AF124C" w:rsidRDefault="00842AC7" w:rsidP="0094375C">
                <w:pPr>
                  <w:rPr>
                    <w:sz w:val="17"/>
                    <w:szCs w:val="17"/>
                  </w:rPr>
                </w:pPr>
              </w:p>
            </w:tc>
          </w:tr>
          <w:tr w:rsidR="00842AC7" w14:paraId="6C3431CA" w14:textId="77777777" w:rsidTr="0094375C">
            <w:trPr>
              <w:trHeight w:val="227"/>
            </w:trPr>
            <w:tc>
              <w:tcPr>
                <w:tcW w:w="2835" w:type="dxa"/>
                <w:shd w:val="clear" w:color="auto" w:fill="auto"/>
              </w:tcPr>
              <w:p w14:paraId="04592D86" w14:textId="77777777" w:rsidR="00842AC7" w:rsidRPr="00AF124C" w:rsidRDefault="00842AC7" w:rsidP="0094375C">
                <w:pPr>
                  <w:pStyle w:val="BReferentietussenkopjes"/>
                  <w:rPr>
                    <w:sz w:val="17"/>
                    <w:szCs w:val="17"/>
                  </w:rPr>
                </w:pPr>
                <w:r w:rsidRPr="00252175">
                  <w:t>Datum</w:t>
                </w:r>
              </w:p>
            </w:tc>
          </w:tr>
          <w:tr w:rsidR="00842AC7" w14:paraId="6D24F101" w14:textId="77777777" w:rsidTr="0094375C">
            <w:trPr>
              <w:trHeight w:val="227"/>
            </w:trPr>
            <w:tc>
              <w:tcPr>
                <w:tcW w:w="2835" w:type="dxa"/>
                <w:shd w:val="clear" w:color="auto" w:fill="auto"/>
              </w:tcPr>
              <w:p w14:paraId="2966F07F" w14:textId="77777777" w:rsidR="00842AC7" w:rsidRPr="00252175" w:rsidRDefault="00842AC7" w:rsidP="0094375C">
                <w:pPr>
                  <w:pStyle w:val="CReferentiegegevens"/>
                </w:pPr>
                <w:r>
                  <w:t xml:space="preserve">11 mei 2021 </w:t>
                </w:r>
                <w:r w:rsidRPr="00252175">
                  <w:t xml:space="preserve"> </w:t>
                </w:r>
              </w:p>
            </w:tc>
          </w:tr>
          <w:tr w:rsidR="00842AC7" w14:paraId="28B53C6C" w14:textId="77777777" w:rsidTr="0094375C">
            <w:trPr>
              <w:trHeight w:val="227"/>
            </w:trPr>
            <w:tc>
              <w:tcPr>
                <w:tcW w:w="2835" w:type="dxa"/>
                <w:shd w:val="clear" w:color="auto" w:fill="auto"/>
              </w:tcPr>
              <w:p w14:paraId="3D3EAE65" w14:textId="77777777" w:rsidR="00842AC7" w:rsidRDefault="00842AC7" w:rsidP="0094375C">
                <w:pPr>
                  <w:pStyle w:val="CReferentiegegevens"/>
                </w:pPr>
              </w:p>
            </w:tc>
          </w:tr>
          <w:tr w:rsidR="00842AC7" w14:paraId="4A2E3B39" w14:textId="77777777" w:rsidTr="0094375C">
            <w:trPr>
              <w:trHeight w:val="227"/>
            </w:trPr>
            <w:tc>
              <w:tcPr>
                <w:tcW w:w="2835" w:type="dxa"/>
                <w:shd w:val="clear" w:color="auto" w:fill="auto"/>
              </w:tcPr>
              <w:p w14:paraId="4BDBCC02" w14:textId="77777777" w:rsidR="00842AC7" w:rsidRPr="00AF124C" w:rsidRDefault="00842AC7" w:rsidP="0094375C">
                <w:pPr>
                  <w:pStyle w:val="BReferentietussenkopjes"/>
                  <w:rPr>
                    <w:sz w:val="17"/>
                    <w:szCs w:val="17"/>
                  </w:rPr>
                </w:pPr>
                <w:r w:rsidRPr="00252175">
                  <w:t>Ons kenmerk</w:t>
                </w:r>
              </w:p>
            </w:tc>
          </w:tr>
          <w:tr w:rsidR="00842AC7" w14:paraId="53621C8F" w14:textId="77777777" w:rsidTr="0094375C">
            <w:trPr>
              <w:trHeight w:val="227"/>
            </w:trPr>
            <w:tc>
              <w:tcPr>
                <w:tcW w:w="2835" w:type="dxa"/>
                <w:shd w:val="clear" w:color="auto" w:fill="auto"/>
              </w:tcPr>
              <w:p w14:paraId="6AA2D305" w14:textId="77777777" w:rsidR="00842AC7" w:rsidRDefault="00842AC7" w:rsidP="0094375C">
                <w:pPr>
                  <w:pStyle w:val="CReferentiegegevens"/>
                </w:pPr>
                <w:r>
                  <w:t>PZH-2021-773632702</w:t>
                </w:r>
              </w:p>
              <w:p w14:paraId="03865471" w14:textId="77777777" w:rsidR="00842AC7" w:rsidRPr="00DF2FE2" w:rsidRDefault="00842AC7" w:rsidP="0094375C">
                <w:pPr>
                  <w:pStyle w:val="CReferentiegegevens"/>
                </w:pPr>
                <w:r>
                  <w:t>DOS-2013-0007945</w:t>
                </w:r>
              </w:p>
            </w:tc>
          </w:tr>
          <w:tr w:rsidR="00842AC7" w14:paraId="5B7A7469" w14:textId="77777777" w:rsidTr="0094375C">
            <w:trPr>
              <w:trHeight w:val="227"/>
            </w:trPr>
            <w:tc>
              <w:tcPr>
                <w:tcW w:w="2835" w:type="dxa"/>
                <w:shd w:val="clear" w:color="auto" w:fill="auto"/>
              </w:tcPr>
              <w:p w14:paraId="75EE8BEA" w14:textId="77777777" w:rsidR="00842AC7" w:rsidRPr="00DF2FE2" w:rsidRDefault="00842AC7" w:rsidP="0094375C">
                <w:pPr>
                  <w:pStyle w:val="CReferentiegegevens"/>
                </w:pPr>
              </w:p>
            </w:tc>
          </w:tr>
          <w:tr w:rsidR="00842AC7" w14:paraId="7BC62FD5" w14:textId="77777777" w:rsidTr="0094375C">
            <w:trPr>
              <w:trHeight w:val="227"/>
            </w:trPr>
            <w:tc>
              <w:tcPr>
                <w:tcW w:w="2835" w:type="dxa"/>
                <w:shd w:val="clear" w:color="auto" w:fill="auto"/>
              </w:tcPr>
              <w:p w14:paraId="03D0C946" w14:textId="77777777" w:rsidR="00842AC7" w:rsidRPr="00AF124C" w:rsidRDefault="00842AC7" w:rsidP="0094375C">
                <w:pPr>
                  <w:pStyle w:val="BReferentietussenkopjes"/>
                  <w:rPr>
                    <w:sz w:val="17"/>
                    <w:szCs w:val="17"/>
                  </w:rPr>
                </w:pPr>
                <w:r w:rsidRPr="00252175">
                  <w:t>Bijlagen</w:t>
                </w:r>
              </w:p>
            </w:tc>
          </w:tr>
          <w:tr w:rsidR="00842AC7" w14:paraId="3611A6F6" w14:textId="77777777" w:rsidTr="0094375C">
            <w:trPr>
              <w:trHeight w:val="227"/>
            </w:trPr>
            <w:tc>
              <w:tcPr>
                <w:tcW w:w="2835" w:type="dxa"/>
                <w:shd w:val="clear" w:color="auto" w:fill="auto"/>
              </w:tcPr>
              <w:p w14:paraId="7D26016D" w14:textId="7538E736" w:rsidR="00842AC7" w:rsidRPr="00DF2FE2" w:rsidRDefault="00842AC7" w:rsidP="0094375C">
                <w:pPr>
                  <w:pStyle w:val="CReferentiegegevens"/>
                </w:pPr>
                <w:r>
                  <w:t>1</w:t>
                </w:r>
              </w:p>
            </w:tc>
          </w:tr>
        </w:tbl>
        <w:p w14:paraId="5E3F08A7" w14:textId="77777777" w:rsidR="00842AC7" w:rsidRPr="0025699A" w:rsidRDefault="00842AC7" w:rsidP="0094375C">
          <w:pPr>
            <w:pStyle w:val="EKenmerkenkopjes"/>
            <w:rPr>
              <w:noProof/>
              <w:sz w:val="19"/>
              <w:szCs w:val="19"/>
            </w:rPr>
          </w:pPr>
        </w:p>
      </w:tc>
    </w:tr>
    <w:tr w:rsidR="00842AC7" w14:paraId="56E694F1" w14:textId="77777777" w:rsidTr="0094375C">
      <w:trPr>
        <w:trHeight w:val="2245"/>
      </w:trPr>
      <w:tc>
        <w:tcPr>
          <w:tcW w:w="4820" w:type="dxa"/>
        </w:tcPr>
        <w:p w14:paraId="1859CB76" w14:textId="77777777" w:rsidR="00842AC7" w:rsidRPr="000F2E25" w:rsidRDefault="00842AC7" w:rsidP="0094375C">
          <w:r w:rsidRPr="0025699A">
            <w:rPr>
              <w:noProof/>
            </w:rPr>
            <w:t>Aan Provinciale Staten</w:t>
          </w:r>
        </w:p>
      </w:tc>
      <w:tc>
        <w:tcPr>
          <w:tcW w:w="4820" w:type="dxa"/>
          <w:vMerge/>
        </w:tcPr>
        <w:p w14:paraId="47DF26F6" w14:textId="77777777" w:rsidR="00842AC7" w:rsidRPr="000F2E25" w:rsidRDefault="00842AC7" w:rsidP="0094375C"/>
      </w:tc>
    </w:tr>
    <w:tr w:rsidR="00842AC7" w14:paraId="1C080838" w14:textId="77777777" w:rsidTr="00246BC4">
      <w:trPr>
        <w:trHeight w:val="284"/>
      </w:trPr>
      <w:tc>
        <w:tcPr>
          <w:tcW w:w="4820" w:type="dxa"/>
        </w:tcPr>
        <w:p w14:paraId="66ECB8C4" w14:textId="77777777" w:rsidR="00842AC7" w:rsidRPr="00246BC4" w:rsidRDefault="00842AC7" w:rsidP="0094375C">
          <w:pPr>
            <w:rPr>
              <w:noProof/>
              <w:sz w:val="14"/>
              <w:szCs w:val="14"/>
            </w:rPr>
          </w:pPr>
          <w:r>
            <w:rPr>
              <w:noProof/>
              <w:sz w:val="14"/>
              <w:szCs w:val="14"/>
            </w:rPr>
            <w:t>Onderwerp</w:t>
          </w:r>
        </w:p>
      </w:tc>
      <w:tc>
        <w:tcPr>
          <w:tcW w:w="4820" w:type="dxa"/>
        </w:tcPr>
        <w:p w14:paraId="22792187" w14:textId="77777777" w:rsidR="00842AC7" w:rsidRPr="000F2E25" w:rsidRDefault="00842AC7" w:rsidP="0094375C"/>
      </w:tc>
    </w:tr>
    <w:tr w:rsidR="00842AC7" w14:paraId="5C1FBADB" w14:textId="77777777" w:rsidTr="00246BC4">
      <w:trPr>
        <w:trHeight w:val="284"/>
      </w:trPr>
      <w:tc>
        <w:tcPr>
          <w:tcW w:w="4820" w:type="dxa"/>
        </w:tcPr>
        <w:p w14:paraId="7B300D74" w14:textId="77777777" w:rsidR="00842AC7" w:rsidRPr="0025699A" w:rsidRDefault="00842AC7" w:rsidP="0094375C">
          <w:pPr>
            <w:rPr>
              <w:noProof/>
            </w:rPr>
          </w:pPr>
          <w:r>
            <w:rPr>
              <w:noProof/>
            </w:rPr>
            <w:t>Programmaplan Flexwonen 2021-2024</w:t>
          </w:r>
        </w:p>
      </w:tc>
      <w:tc>
        <w:tcPr>
          <w:tcW w:w="4820" w:type="dxa"/>
        </w:tcPr>
        <w:p w14:paraId="7D81156C" w14:textId="77777777" w:rsidR="00842AC7" w:rsidRPr="000F2E25" w:rsidRDefault="00842AC7" w:rsidP="0094375C"/>
      </w:tc>
    </w:tr>
    <w:tr w:rsidR="00842AC7" w14:paraId="425FFD48" w14:textId="77777777" w:rsidTr="00246BC4">
      <w:trPr>
        <w:trHeight w:val="284"/>
      </w:trPr>
      <w:tc>
        <w:tcPr>
          <w:tcW w:w="4820" w:type="dxa"/>
        </w:tcPr>
        <w:p w14:paraId="48504FAE" w14:textId="77777777" w:rsidR="00842AC7" w:rsidRPr="0025699A" w:rsidRDefault="00842AC7" w:rsidP="0094375C">
          <w:pPr>
            <w:rPr>
              <w:noProof/>
            </w:rPr>
          </w:pPr>
        </w:p>
      </w:tc>
      <w:tc>
        <w:tcPr>
          <w:tcW w:w="4820" w:type="dxa"/>
        </w:tcPr>
        <w:p w14:paraId="4C0DA42C" w14:textId="77777777" w:rsidR="00842AC7" w:rsidRPr="000F2E25" w:rsidRDefault="00842AC7" w:rsidP="0094375C"/>
      </w:tc>
    </w:tr>
    <w:tr w:rsidR="00842AC7" w14:paraId="5F8779AE" w14:textId="77777777" w:rsidTr="00246BC4">
      <w:trPr>
        <w:trHeight w:val="284"/>
      </w:trPr>
      <w:tc>
        <w:tcPr>
          <w:tcW w:w="4820" w:type="dxa"/>
        </w:tcPr>
        <w:p w14:paraId="77849010" w14:textId="77777777" w:rsidR="00842AC7" w:rsidRPr="0025699A" w:rsidRDefault="00842AC7" w:rsidP="0094375C">
          <w:pPr>
            <w:rPr>
              <w:noProof/>
            </w:rPr>
          </w:pPr>
          <w:r>
            <w:rPr>
              <w:noProof/>
            </w:rPr>
            <w:t>Geachte Statenleden,</w:t>
          </w:r>
        </w:p>
      </w:tc>
      <w:tc>
        <w:tcPr>
          <w:tcW w:w="4820" w:type="dxa"/>
        </w:tcPr>
        <w:p w14:paraId="3397BF02" w14:textId="77777777" w:rsidR="00842AC7" w:rsidRPr="000F2E25" w:rsidRDefault="00842AC7" w:rsidP="0094375C"/>
      </w:tc>
    </w:tr>
  </w:tbl>
  <w:p w14:paraId="6B53ECC3" w14:textId="77777777" w:rsidR="00842AC7" w:rsidRDefault="003C1337">
    <w:r>
      <w:rPr>
        <w:noProof/>
      </w:rPr>
      <w:pict w14:anchorId="750503D7">
        <v:rect id="Rectangle 28" o:spid="_x0000_s2052" style="position:absolute;margin-left:-113.4pt;margin-top:-167.45pt;width:62.35pt;height:730.4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fillcolor="#c90" stroked="f">
          <v:fill opacity="26214f"/>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13ADD9"/>
    <w:multiLevelType w:val="hybridMultilevel"/>
    <w:tmpl w:val="2A2AEBDC"/>
    <w:lvl w:ilvl="0" w:tplc="7488FB38">
      <w:start w:val="1"/>
      <w:numFmt w:val="decimal"/>
      <w:pStyle w:val="HTussenkopjes"/>
      <w:lvlText w:val="%1"/>
      <w:lvlJc w:val="left"/>
      <w:pPr>
        <w:tabs>
          <w:tab w:val="num" w:pos="0"/>
        </w:tabs>
        <w:ind w:left="0" w:hanging="284"/>
      </w:pPr>
      <w:rPr>
        <w:rFonts w:hint="default"/>
      </w:rPr>
    </w:lvl>
    <w:lvl w:ilvl="1" w:tplc="4F98E830" w:tentative="1">
      <w:start w:val="1"/>
      <w:numFmt w:val="lowerLetter"/>
      <w:lvlText w:val="%2."/>
      <w:lvlJc w:val="left"/>
      <w:pPr>
        <w:tabs>
          <w:tab w:val="num" w:pos="1440"/>
        </w:tabs>
        <w:ind w:left="1440" w:hanging="360"/>
      </w:pPr>
    </w:lvl>
    <w:lvl w:ilvl="2" w:tplc="FF60AD14" w:tentative="1">
      <w:start w:val="1"/>
      <w:numFmt w:val="lowerRoman"/>
      <w:lvlText w:val="%3."/>
      <w:lvlJc w:val="right"/>
      <w:pPr>
        <w:tabs>
          <w:tab w:val="num" w:pos="2160"/>
        </w:tabs>
        <w:ind w:left="2160" w:hanging="180"/>
      </w:pPr>
    </w:lvl>
    <w:lvl w:ilvl="3" w:tplc="5AE2F8A6" w:tentative="1">
      <w:start w:val="1"/>
      <w:numFmt w:val="decimal"/>
      <w:lvlText w:val="%4."/>
      <w:lvlJc w:val="left"/>
      <w:pPr>
        <w:tabs>
          <w:tab w:val="num" w:pos="2880"/>
        </w:tabs>
        <w:ind w:left="2880" w:hanging="360"/>
      </w:pPr>
    </w:lvl>
    <w:lvl w:ilvl="4" w:tplc="A79A55AE" w:tentative="1">
      <w:start w:val="1"/>
      <w:numFmt w:val="lowerLetter"/>
      <w:lvlText w:val="%5."/>
      <w:lvlJc w:val="left"/>
      <w:pPr>
        <w:tabs>
          <w:tab w:val="num" w:pos="3600"/>
        </w:tabs>
        <w:ind w:left="3600" w:hanging="360"/>
      </w:pPr>
    </w:lvl>
    <w:lvl w:ilvl="5" w:tplc="8FE019C2" w:tentative="1">
      <w:start w:val="1"/>
      <w:numFmt w:val="lowerRoman"/>
      <w:lvlText w:val="%6."/>
      <w:lvlJc w:val="right"/>
      <w:pPr>
        <w:tabs>
          <w:tab w:val="num" w:pos="4320"/>
        </w:tabs>
        <w:ind w:left="4320" w:hanging="180"/>
      </w:pPr>
    </w:lvl>
    <w:lvl w:ilvl="6" w:tplc="A306B7E8" w:tentative="1">
      <w:start w:val="1"/>
      <w:numFmt w:val="decimal"/>
      <w:lvlText w:val="%7."/>
      <w:lvlJc w:val="left"/>
      <w:pPr>
        <w:tabs>
          <w:tab w:val="num" w:pos="5040"/>
        </w:tabs>
        <w:ind w:left="5040" w:hanging="360"/>
      </w:pPr>
    </w:lvl>
    <w:lvl w:ilvl="7" w:tplc="C9E856F8" w:tentative="1">
      <w:start w:val="1"/>
      <w:numFmt w:val="lowerLetter"/>
      <w:lvlText w:val="%8."/>
      <w:lvlJc w:val="left"/>
      <w:pPr>
        <w:tabs>
          <w:tab w:val="num" w:pos="5760"/>
        </w:tabs>
        <w:ind w:left="5760" w:hanging="360"/>
      </w:pPr>
    </w:lvl>
    <w:lvl w:ilvl="8" w:tplc="E8EC65CA" w:tentative="1">
      <w:start w:val="1"/>
      <w:numFmt w:val="lowerRoman"/>
      <w:lvlText w:val="%9."/>
      <w:lvlJc w:val="right"/>
      <w:pPr>
        <w:tabs>
          <w:tab w:val="num" w:pos="6480"/>
        </w:tabs>
        <w:ind w:left="6480" w:hanging="180"/>
      </w:pPr>
    </w:lvl>
  </w:abstractNum>
  <w:abstractNum w:abstractNumId="1" w15:restartNumberingAfterBreak="0">
    <w:nsid w:val="D92C5FC5"/>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EEE7DADF"/>
    <w:multiLevelType w:val="multilevel"/>
    <w:tmpl w:val="B1D4C192"/>
    <w:styleLink w:val="OpmaakprofielMeerdereniveaus"/>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3"/>
      </w:pPr>
      <w:rPr>
        <w:rFonts w:hint="default"/>
      </w:rPr>
    </w:lvl>
    <w:lvl w:ilvl="2">
      <w:start w:val="1"/>
      <w:numFmt w:val="decimal"/>
      <w:lvlText w:val="%1.%2.%3."/>
      <w:lvlJc w:val="left"/>
      <w:pPr>
        <w:tabs>
          <w:tab w:val="num" w:pos="1077"/>
        </w:tabs>
        <w:ind w:left="1077" w:hanging="3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69EDB5C"/>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B4A4387"/>
    <w:multiLevelType w:val="hybridMultilevel"/>
    <w:tmpl w:val="95FC56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4A46C7D"/>
    <w:multiLevelType w:val="hybridMultilevel"/>
    <w:tmpl w:val="A5A433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C13"/>
    <w:rsid w:val="00027C13"/>
    <w:rsid w:val="00054DE6"/>
    <w:rsid w:val="000A05BA"/>
    <w:rsid w:val="000A3402"/>
    <w:rsid w:val="000A4109"/>
    <w:rsid w:val="000B0B9D"/>
    <w:rsid w:val="000C75AD"/>
    <w:rsid w:val="000F2E25"/>
    <w:rsid w:val="00140093"/>
    <w:rsid w:val="00146AE2"/>
    <w:rsid w:val="00150925"/>
    <w:rsid w:val="00187CAD"/>
    <w:rsid w:val="001935CF"/>
    <w:rsid w:val="001C4F2C"/>
    <w:rsid w:val="001D3BC7"/>
    <w:rsid w:val="001F075E"/>
    <w:rsid w:val="00246BC4"/>
    <w:rsid w:val="00252175"/>
    <w:rsid w:val="0025699A"/>
    <w:rsid w:val="002A5DB4"/>
    <w:rsid w:val="002D5A2C"/>
    <w:rsid w:val="003C1337"/>
    <w:rsid w:val="003C18C7"/>
    <w:rsid w:val="00473C8B"/>
    <w:rsid w:val="004B40FC"/>
    <w:rsid w:val="005214E5"/>
    <w:rsid w:val="00546D88"/>
    <w:rsid w:val="00577483"/>
    <w:rsid w:val="005A0E99"/>
    <w:rsid w:val="005D159C"/>
    <w:rsid w:val="005F0DA0"/>
    <w:rsid w:val="00617467"/>
    <w:rsid w:val="00691098"/>
    <w:rsid w:val="00725F2A"/>
    <w:rsid w:val="0077370B"/>
    <w:rsid w:val="007A4675"/>
    <w:rsid w:val="007D417C"/>
    <w:rsid w:val="007E2DAA"/>
    <w:rsid w:val="00806F62"/>
    <w:rsid w:val="00821C39"/>
    <w:rsid w:val="00842AC7"/>
    <w:rsid w:val="00847022"/>
    <w:rsid w:val="008E00E2"/>
    <w:rsid w:val="0094375C"/>
    <w:rsid w:val="0094377D"/>
    <w:rsid w:val="00967096"/>
    <w:rsid w:val="00A11B06"/>
    <w:rsid w:val="00A52FF5"/>
    <w:rsid w:val="00AD6877"/>
    <w:rsid w:val="00AF124C"/>
    <w:rsid w:val="00AF41A4"/>
    <w:rsid w:val="00B4647C"/>
    <w:rsid w:val="00B9229D"/>
    <w:rsid w:val="00C9022C"/>
    <w:rsid w:val="00CE725E"/>
    <w:rsid w:val="00D17FC0"/>
    <w:rsid w:val="00D67809"/>
    <w:rsid w:val="00D7674F"/>
    <w:rsid w:val="00DC5D07"/>
    <w:rsid w:val="00DE118B"/>
    <w:rsid w:val="00DE7362"/>
    <w:rsid w:val="00DF2FE2"/>
    <w:rsid w:val="00E15860"/>
    <w:rsid w:val="00E3199C"/>
    <w:rsid w:val="00E63895"/>
    <w:rsid w:val="00E73E72"/>
    <w:rsid w:val="00EB48E3"/>
    <w:rsid w:val="00ED1E4E"/>
    <w:rsid w:val="00F2240A"/>
    <w:rsid w:val="00F43662"/>
    <w:rsid w:val="00F65986"/>
    <w:rsid w:val="00FD669A"/>
    <w:rsid w:val="00FE7200"/>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630762C0"/>
  <w15:docId w15:val="{EADB4119-EECE-4B8E-B167-0D7C33EE3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D]"/>
    <w:qFormat/>
    <w:rsid w:val="006F7E77"/>
    <w:pPr>
      <w:spacing w:line="284" w:lineRule="exact"/>
    </w:pPr>
    <w:rPr>
      <w:rFonts w:ascii="Arial" w:hAnsi="Arial"/>
      <w:sz w:val="19"/>
      <w:szCs w:val="19"/>
    </w:rPr>
  </w:style>
  <w:style w:type="paragraph" w:styleId="Kop1">
    <w:name w:val="heading 1"/>
    <w:aliases w:val="[K]"/>
    <w:basedOn w:val="Standaard"/>
    <w:next w:val="Standaard"/>
    <w:link w:val="Kop1Char"/>
    <w:qFormat/>
    <w:rsid w:val="00252175"/>
    <w:pPr>
      <w:keepNext/>
      <w:spacing w:before="240" w:after="60" w:line="240" w:lineRule="auto"/>
      <w:outlineLvl w:val="0"/>
    </w:pPr>
    <w:rPr>
      <w:rFonts w:cs="Arial"/>
      <w:b/>
      <w:bCs/>
      <w:kern w:val="32"/>
      <w:sz w:val="36"/>
      <w:szCs w:val="32"/>
    </w:rPr>
  </w:style>
  <w:style w:type="paragraph" w:styleId="Kop2">
    <w:name w:val="heading 2"/>
    <w:aliases w:val="[J]"/>
    <w:basedOn w:val="Standaard"/>
    <w:next w:val="Standaard"/>
    <w:link w:val="Kop2Char"/>
    <w:qFormat/>
    <w:rsid w:val="00252175"/>
    <w:pPr>
      <w:keepNext/>
      <w:spacing w:line="240" w:lineRule="auto"/>
      <w:outlineLvl w:val="1"/>
    </w:pPr>
    <w:rPr>
      <w:rFonts w:cs="Arial"/>
      <w:b/>
      <w:bCs/>
      <w:iCs/>
      <w:sz w:val="24"/>
      <w:szCs w:val="28"/>
    </w:rPr>
  </w:style>
  <w:style w:type="paragraph" w:styleId="Kop3">
    <w:name w:val="heading 3"/>
    <w:aliases w:val="[H]"/>
    <w:basedOn w:val="Standaard"/>
    <w:next w:val="Standaard"/>
    <w:link w:val="Kop3Char"/>
    <w:qFormat/>
    <w:rsid w:val="00252175"/>
    <w:pPr>
      <w:keepNext/>
      <w:spacing w:line="240" w:lineRule="auto"/>
      <w:outlineLvl w:val="2"/>
    </w:pPr>
    <w:rPr>
      <w:rFonts w:cs="Arial"/>
      <w:b/>
      <w:bCs/>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ReferentieKop">
    <w:name w:val="[A] Referentie Kop"/>
    <w:basedOn w:val="Standaard"/>
    <w:rsid w:val="00252175"/>
    <w:rPr>
      <w:b/>
      <w:sz w:val="22"/>
    </w:rPr>
  </w:style>
  <w:style w:type="paragraph" w:customStyle="1" w:styleId="BReferentietussenkopjes">
    <w:name w:val="[B] Referentie tussenkopjes"/>
    <w:basedOn w:val="Standaard"/>
    <w:rsid w:val="00252175"/>
    <w:pPr>
      <w:spacing w:line="227" w:lineRule="exact"/>
    </w:pPr>
    <w:rPr>
      <w:sz w:val="14"/>
    </w:rPr>
  </w:style>
  <w:style w:type="paragraph" w:customStyle="1" w:styleId="CReferentiegegevens">
    <w:name w:val="[C] Referentiegegevens"/>
    <w:basedOn w:val="Standaard"/>
    <w:rsid w:val="00252175"/>
    <w:pPr>
      <w:spacing w:line="227" w:lineRule="exact"/>
    </w:pPr>
    <w:rPr>
      <w:sz w:val="17"/>
    </w:rPr>
  </w:style>
  <w:style w:type="paragraph" w:customStyle="1" w:styleId="EKenmerkenkopjes">
    <w:name w:val="[E] Kenmerken kopjes"/>
    <w:basedOn w:val="Standaard"/>
    <w:rsid w:val="00252175"/>
    <w:rPr>
      <w:sz w:val="14"/>
      <w:szCs w:val="14"/>
    </w:rPr>
  </w:style>
  <w:style w:type="paragraph" w:customStyle="1" w:styleId="FKantlijn">
    <w:name w:val="[F] Kantlijn"/>
    <w:basedOn w:val="Standaard"/>
    <w:rsid w:val="0044141C"/>
    <w:pPr>
      <w:spacing w:line="227" w:lineRule="exact"/>
    </w:pPr>
    <w:rPr>
      <w:sz w:val="13"/>
      <w:szCs w:val="13"/>
    </w:rPr>
  </w:style>
  <w:style w:type="paragraph" w:customStyle="1" w:styleId="GTVCcode">
    <w:name w:val="[G] TVCcode"/>
    <w:basedOn w:val="Standaard"/>
    <w:rsid w:val="00252175"/>
    <w:rPr>
      <w:sz w:val="12"/>
      <w:szCs w:val="12"/>
    </w:rPr>
  </w:style>
  <w:style w:type="paragraph" w:customStyle="1" w:styleId="MKantlijnkopje">
    <w:name w:val="[M] Kantlijn kopje"/>
    <w:basedOn w:val="Standaard"/>
    <w:rsid w:val="00252175"/>
    <w:pPr>
      <w:spacing w:line="227" w:lineRule="exact"/>
    </w:pPr>
    <w:rPr>
      <w:b/>
      <w:sz w:val="14"/>
      <w:szCs w:val="14"/>
    </w:rPr>
  </w:style>
  <w:style w:type="numbering" w:styleId="1ai">
    <w:name w:val="Outline List 1"/>
    <w:basedOn w:val="Geenlijst"/>
    <w:rsid w:val="00252175"/>
    <w:pPr>
      <w:numPr>
        <w:numId w:val="1"/>
      </w:numPr>
    </w:pPr>
  </w:style>
  <w:style w:type="character" w:styleId="GevolgdeHyperlink">
    <w:name w:val="FollowedHyperlink"/>
    <w:rsid w:val="00252175"/>
    <w:rPr>
      <w:rFonts w:ascii="Arial" w:hAnsi="Arial"/>
      <w:color w:val="800080"/>
      <w:u w:val="single"/>
    </w:rPr>
  </w:style>
  <w:style w:type="character" w:styleId="Hyperlink">
    <w:name w:val="Hyperlink"/>
    <w:rsid w:val="00252175"/>
    <w:rPr>
      <w:rFonts w:ascii="Arial" w:hAnsi="Arial"/>
      <w:color w:val="0000FF"/>
      <w:u w:val="single"/>
    </w:rPr>
  </w:style>
  <w:style w:type="paragraph" w:styleId="Lijstnummering">
    <w:name w:val="List Number"/>
    <w:basedOn w:val="Standaard"/>
    <w:rsid w:val="00252175"/>
  </w:style>
  <w:style w:type="numbering" w:customStyle="1" w:styleId="OpmaakprofielMeerdereniveaus">
    <w:name w:val="Opmaakprofiel Meerdere niveaus"/>
    <w:basedOn w:val="Geenlijst"/>
    <w:rsid w:val="00252175"/>
    <w:pPr>
      <w:numPr>
        <w:numId w:val="2"/>
      </w:numPr>
    </w:pPr>
  </w:style>
  <w:style w:type="character" w:styleId="Paginanummer">
    <w:name w:val="page number"/>
    <w:aliases w:val="[E]"/>
    <w:rsid w:val="00252175"/>
    <w:rPr>
      <w:rFonts w:ascii="Arial" w:hAnsi="Arial"/>
      <w:sz w:val="14"/>
      <w:szCs w:val="14"/>
      <w:lang w:val="nl-NL"/>
    </w:rPr>
  </w:style>
  <w:style w:type="table" w:styleId="Tabelraster">
    <w:name w:val="Table Grid"/>
    <w:basedOn w:val="Standaardtabel"/>
    <w:rsid w:val="00252175"/>
    <w:pPr>
      <w:spacing w:line="284" w:lineRule="exact"/>
    </w:pPr>
    <w:rPr>
      <w:rFonts w:ascii="Arial" w:hAnsi="Arial"/>
      <w:szCs w:val="18"/>
    </w:rPr>
    <w:tblPr>
      <w:tblCellMar>
        <w:left w:w="0" w:type="dxa"/>
        <w:right w:w="0" w:type="dxa"/>
      </w:tblCellMar>
    </w:tblPr>
  </w:style>
  <w:style w:type="table" w:customStyle="1" w:styleId="TabelrasteropmaakD">
    <w:name w:val="Tabelraster opmaak [D]"/>
    <w:basedOn w:val="Standaardtabel"/>
    <w:rsid w:val="00252175"/>
    <w:pPr>
      <w:spacing w:line="284" w:lineRule="exact"/>
    </w:pPr>
    <w:rPr>
      <w:rFonts w:ascii="Arial" w:hAnsi="Arial"/>
    </w:rPr>
    <w:tblPr>
      <w:tblCellMar>
        <w:left w:w="0" w:type="dxa"/>
        <w:right w:w="0" w:type="dxa"/>
      </w:tblCellMar>
    </w:tblPr>
  </w:style>
  <w:style w:type="table" w:customStyle="1" w:styleId="TabelrasteropmaakC">
    <w:name w:val="Tabelraster opmaak [C]"/>
    <w:basedOn w:val="TabelrasteropmaakD"/>
    <w:rsid w:val="00252175"/>
    <w:pPr>
      <w:spacing w:line="227" w:lineRule="exact"/>
    </w:pPr>
    <w:rPr>
      <w:sz w:val="17"/>
      <w:szCs w:val="17"/>
    </w:rPr>
    <w:tblPr/>
  </w:style>
  <w:style w:type="numbering" w:styleId="111111">
    <w:name w:val="Outline List 2"/>
    <w:basedOn w:val="Geenlijst"/>
    <w:rsid w:val="00252175"/>
    <w:pPr>
      <w:numPr>
        <w:numId w:val="3"/>
      </w:numPr>
    </w:pPr>
  </w:style>
  <w:style w:type="paragraph" w:styleId="Koptekst">
    <w:name w:val="header"/>
    <w:basedOn w:val="Standaard"/>
    <w:link w:val="KoptekstChar"/>
    <w:rsid w:val="00252175"/>
    <w:pPr>
      <w:tabs>
        <w:tab w:val="center" w:pos="4536"/>
        <w:tab w:val="right" w:pos="9072"/>
      </w:tabs>
    </w:pPr>
  </w:style>
  <w:style w:type="paragraph" w:styleId="Voettekst">
    <w:name w:val="footer"/>
    <w:basedOn w:val="Standaard"/>
    <w:link w:val="VoettekstChar"/>
    <w:rsid w:val="00252175"/>
    <w:pPr>
      <w:tabs>
        <w:tab w:val="center" w:pos="4536"/>
        <w:tab w:val="right" w:pos="9072"/>
      </w:tabs>
    </w:pPr>
  </w:style>
  <w:style w:type="paragraph" w:customStyle="1" w:styleId="HTussenkopjes">
    <w:name w:val="[H] Tussenkopjes"/>
    <w:basedOn w:val="Kop3"/>
    <w:next w:val="Standaard"/>
    <w:rsid w:val="00EF12AB"/>
    <w:pPr>
      <w:numPr>
        <w:numId w:val="4"/>
      </w:numPr>
      <w:tabs>
        <w:tab w:val="clear" w:pos="0"/>
        <w:tab w:val="num" w:pos="360"/>
      </w:tabs>
      <w:ind w:firstLine="0"/>
    </w:pPr>
  </w:style>
  <w:style w:type="paragraph" w:styleId="Ballontekst">
    <w:name w:val="Balloon Text"/>
    <w:basedOn w:val="Standaard"/>
    <w:link w:val="BallontekstChar"/>
    <w:semiHidden/>
    <w:rsid w:val="002E19B1"/>
    <w:rPr>
      <w:rFonts w:ascii="Tahoma" w:hAnsi="Tahoma" w:cs="Tahoma"/>
      <w:sz w:val="16"/>
      <w:szCs w:val="16"/>
    </w:rPr>
  </w:style>
  <w:style w:type="character" w:customStyle="1" w:styleId="Kop1Char">
    <w:name w:val="Kop 1 Char"/>
    <w:aliases w:val="[K] Char"/>
    <w:basedOn w:val="Standaardalinea-lettertype"/>
    <w:link w:val="Kop1"/>
    <w:rsid w:val="00841CD9"/>
    <w:rPr>
      <w:rFonts w:ascii="Arial" w:eastAsia="Times New Roman" w:hAnsi="Arial" w:cs="Arial"/>
      <w:b/>
      <w:bCs/>
      <w:kern w:val="32"/>
      <w:sz w:val="36"/>
      <w:szCs w:val="32"/>
      <w:lang w:val="nl-NL" w:eastAsia="nl-NL"/>
    </w:rPr>
  </w:style>
  <w:style w:type="character" w:customStyle="1" w:styleId="Kop2Char">
    <w:name w:val="Kop 2 Char"/>
    <w:aliases w:val="[J] Char"/>
    <w:basedOn w:val="Standaardalinea-lettertype"/>
    <w:link w:val="Kop2"/>
    <w:rsid w:val="00841CD9"/>
    <w:rPr>
      <w:rFonts w:ascii="Arial" w:eastAsia="Times New Roman" w:hAnsi="Arial" w:cs="Arial"/>
      <w:b/>
      <w:bCs/>
      <w:iCs/>
      <w:sz w:val="24"/>
      <w:szCs w:val="28"/>
      <w:lang w:val="nl-NL" w:eastAsia="nl-NL"/>
    </w:rPr>
  </w:style>
  <w:style w:type="character" w:customStyle="1" w:styleId="Kop3Char">
    <w:name w:val="Kop 3 Char"/>
    <w:aliases w:val="[H] Char"/>
    <w:basedOn w:val="Standaardalinea-lettertype"/>
    <w:link w:val="Kop3"/>
    <w:rsid w:val="00841CD9"/>
    <w:rPr>
      <w:rFonts w:ascii="Arial" w:eastAsia="Times New Roman" w:hAnsi="Arial" w:cs="Arial"/>
      <w:b/>
      <w:bCs/>
      <w:sz w:val="19"/>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472C4" w:themeColor="accent1"/>
    </w:rPr>
  </w:style>
  <w:style w:type="character" w:customStyle="1" w:styleId="BallontekstChar">
    <w:name w:val="Ballontekst Char"/>
    <w:basedOn w:val="Standaardalinea-lettertype"/>
    <w:link w:val="Ballontekst"/>
    <w:semiHidden/>
    <w:rsid w:val="00C76A2E"/>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C76A2E"/>
    <w:rPr>
      <w:rFonts w:ascii="Arial" w:eastAsia="Times New Roman" w:hAnsi="Arial" w:cs="Times New Roman"/>
      <w:sz w:val="19"/>
      <w:szCs w:val="19"/>
      <w:lang w:val="nl-NL" w:eastAsia="nl-NL"/>
    </w:rPr>
  </w:style>
  <w:style w:type="character" w:customStyle="1" w:styleId="KoptekstChar">
    <w:name w:val="Koptekst Char"/>
    <w:basedOn w:val="Standaardalinea-lettertype"/>
    <w:link w:val="Koptekst"/>
    <w:rsid w:val="00C76A2E"/>
    <w:rPr>
      <w:rFonts w:ascii="Arial" w:eastAsia="Times New Roman" w:hAnsi="Arial" w:cs="Times New Roman"/>
      <w:sz w:val="19"/>
      <w:szCs w:val="19"/>
      <w:lang w:val="nl-NL" w:eastAsia="nl-NL"/>
    </w:rPr>
  </w:style>
  <w:style w:type="paragraph" w:styleId="Lijstalinea">
    <w:name w:val="List Paragraph"/>
    <w:basedOn w:val="Standaard"/>
    <w:uiPriority w:val="34"/>
    <w:qFormat/>
    <w:rsid w:val="00A52FF5"/>
    <w:pPr>
      <w:ind w:left="720"/>
      <w:contextualSpacing/>
    </w:pPr>
  </w:style>
  <w:style w:type="character" w:styleId="Verwijzingopmerking">
    <w:name w:val="annotation reference"/>
    <w:basedOn w:val="Standaardalinea-lettertype"/>
    <w:semiHidden/>
    <w:unhideWhenUsed/>
    <w:rsid w:val="00D17FC0"/>
    <w:rPr>
      <w:sz w:val="16"/>
      <w:szCs w:val="16"/>
    </w:rPr>
  </w:style>
  <w:style w:type="paragraph" w:styleId="Tekstopmerking">
    <w:name w:val="annotation text"/>
    <w:basedOn w:val="Standaard"/>
    <w:link w:val="TekstopmerkingChar"/>
    <w:semiHidden/>
    <w:unhideWhenUsed/>
    <w:rsid w:val="00D17FC0"/>
    <w:pPr>
      <w:spacing w:line="240" w:lineRule="auto"/>
    </w:pPr>
    <w:rPr>
      <w:sz w:val="20"/>
      <w:szCs w:val="20"/>
    </w:rPr>
  </w:style>
  <w:style w:type="character" w:customStyle="1" w:styleId="TekstopmerkingChar">
    <w:name w:val="Tekst opmerking Char"/>
    <w:basedOn w:val="Standaardalinea-lettertype"/>
    <w:link w:val="Tekstopmerking"/>
    <w:semiHidden/>
    <w:rsid w:val="00D17FC0"/>
    <w:rPr>
      <w:rFonts w:ascii="Arial" w:hAnsi="Arial"/>
    </w:rPr>
  </w:style>
  <w:style w:type="paragraph" w:styleId="Onderwerpvanopmerking">
    <w:name w:val="annotation subject"/>
    <w:basedOn w:val="Tekstopmerking"/>
    <w:next w:val="Tekstopmerking"/>
    <w:link w:val="OnderwerpvanopmerkingChar"/>
    <w:semiHidden/>
    <w:unhideWhenUsed/>
    <w:rsid w:val="00D17FC0"/>
    <w:rPr>
      <w:b/>
      <w:bCs/>
    </w:rPr>
  </w:style>
  <w:style w:type="character" w:customStyle="1" w:styleId="OnderwerpvanopmerkingChar">
    <w:name w:val="Onderwerp van opmerking Char"/>
    <w:basedOn w:val="TekstopmerkingChar"/>
    <w:link w:val="Onderwerpvanopmerking"/>
    <w:semiHidden/>
    <w:rsid w:val="00D17FC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1595</Words>
  <Characters>8778</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Document</vt:lpstr>
    </vt:vector>
  </TitlesOfParts>
  <Company>Provincie Zuid-Holland</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Document</dc:title>
  <dc:creator>fatehr</dc:creator>
  <cp:lastModifiedBy>Arnout Menkveld</cp:lastModifiedBy>
  <cp:revision>3</cp:revision>
  <dcterms:created xsi:type="dcterms:W3CDTF">2021-05-20T12:46:00Z</dcterms:created>
  <dcterms:modified xsi:type="dcterms:W3CDTF">2021-06-03T12:29:00Z</dcterms:modified>
</cp:coreProperties>
</file>